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317C" w14:textId="5BD103B0" w:rsidR="00DF4E9A" w:rsidRPr="002A2915" w:rsidRDefault="00E92578" w:rsidP="00326995">
      <w:pPr>
        <w:pStyle w:val="PulloutText"/>
        <w:rPr>
          <w:color w:val="FFFFFF" w:themeColor="background1"/>
          <w:sz w:val="36"/>
          <w:szCs w:val="36"/>
        </w:rPr>
        <w:sectPr w:rsidR="00DF4E9A" w:rsidRPr="002A2915" w:rsidSect="007707DF">
          <w:headerReference w:type="default" r:id="rId14"/>
          <w:footerReference w:type="even" r:id="rId15"/>
          <w:pgSz w:w="11900" w:h="16840"/>
          <w:pgMar w:top="6379" w:right="1134" w:bottom="1134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2378" wp14:editId="6A1F86E5">
                <wp:simplePos x="0" y="0"/>
                <wp:positionH relativeFrom="column">
                  <wp:posOffset>3057253</wp:posOffset>
                </wp:positionH>
                <wp:positionV relativeFrom="paragraph">
                  <wp:posOffset>-22951</wp:posOffset>
                </wp:positionV>
                <wp:extent cx="3145971" cy="185057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971" cy="18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48E32" w14:textId="3D900917" w:rsidR="00433078" w:rsidRPr="00433078" w:rsidRDefault="00433078" w:rsidP="00433078">
                            <w:pPr>
                              <w:pStyle w:val="HeadingOne"/>
                            </w:pPr>
                            <w:r w:rsidRPr="00433078">
                              <w:t xml:space="preserve">Welcome to </w:t>
                            </w:r>
                            <w:r w:rsidR="008D12CA">
                              <w:t xml:space="preserve">a special </w:t>
                            </w:r>
                            <w:r w:rsidRPr="00433078">
                              <w:t>edition of our newsletter</w:t>
                            </w:r>
                          </w:p>
                          <w:p w14:paraId="745FCB4F" w14:textId="77777777" w:rsidR="00433078" w:rsidRDefault="00433078"/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C23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0.75pt;margin-top:-1.8pt;width:247.7pt;height:14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" filled="f" stroked="f" strokeweight=".5pt">
                <v:textbox inset="0,0,,0">
                  <w:txbxContent>
                    <w:p w14:paraId="0BD48E32" w14:textId="3D900917" w:rsidR="00433078" w:rsidRPr="00433078" w:rsidRDefault="00433078" w:rsidP="00433078">
                      <w:pPr>
                        <w:pStyle w:val="HeadingOne"/>
                      </w:pPr>
                      <w:r w:rsidRPr="00433078">
                        <w:t xml:space="preserve">Welcome to </w:t>
                      </w:r>
                      <w:r w:rsidR="008D12CA">
                        <w:t xml:space="preserve">a special </w:t>
                      </w:r>
                      <w:r w:rsidRPr="00433078">
                        <w:t>edition of our newsletter</w:t>
                      </w:r>
                    </w:p>
                    <w:p w14:paraId="745FCB4F" w14:textId="77777777" w:rsidR="00433078" w:rsidRDefault="00433078"/>
                  </w:txbxContent>
                </v:textbox>
              </v:shape>
            </w:pict>
          </mc:Fallback>
        </mc:AlternateContent>
      </w:r>
      <w:r w:rsidR="008D12C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00AED0" wp14:editId="6D7D9C1C">
                <wp:simplePos x="0" y="0"/>
                <wp:positionH relativeFrom="column">
                  <wp:posOffset>2053161</wp:posOffset>
                </wp:positionH>
                <wp:positionV relativeFrom="paragraph">
                  <wp:posOffset>293808</wp:posOffset>
                </wp:positionV>
                <wp:extent cx="4549140" cy="4812406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4812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D7B02" w14:textId="4127C802" w:rsidR="008D12CA" w:rsidRPr="00E92578" w:rsidRDefault="008D12CA" w:rsidP="008D12CA">
                            <w:pPr>
                              <w:pStyle w:val="ContentsBox"/>
                              <w:rPr>
                                <w:color w:val="184C8D" w:themeColor="accent3"/>
                                <w:sz w:val="22"/>
                                <w:szCs w:val="26"/>
                              </w:rPr>
                            </w:pPr>
                            <w:r w:rsidRPr="00E92578">
                              <w:rPr>
                                <w:color w:val="184C8D" w:themeColor="accent3"/>
                                <w:sz w:val="22"/>
                                <w:szCs w:val="26"/>
                              </w:rPr>
                              <w:t xml:space="preserve">ARPC ready to support new reinsurance pool </w:t>
                            </w:r>
                          </w:p>
                          <w:p w14:paraId="60E389B0" w14:textId="6E68577C" w:rsidR="001625BE" w:rsidRDefault="001625BE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  <w:r w:rsidRPr="001625BE">
                              <w:rPr>
                                <w:sz w:val="20"/>
                                <w:szCs w:val="20"/>
                              </w:rPr>
                              <w:t xml:space="preserve">This special edition of Under the Cover is the first in a series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addressed to </w:t>
                            </w:r>
                            <w:r w:rsidRPr="001625BE">
                              <w:rPr>
                                <w:sz w:val="20"/>
                                <w:szCs w:val="20"/>
                              </w:rPr>
                              <w:t>you, our stakeholders,</w:t>
                            </w:r>
                            <w:r w:rsidR="00847B8C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1625BE">
                              <w:rPr>
                                <w:sz w:val="20"/>
                                <w:szCs w:val="20"/>
                              </w:rPr>
                              <w:t xml:space="preserve">update you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progress of the </w:t>
                            </w:r>
                            <w:r w:rsidR="00FC50DD">
                              <w:rPr>
                                <w:sz w:val="20"/>
                                <w:szCs w:val="20"/>
                              </w:rPr>
                              <w:t xml:space="preserve">proposed new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cyclone</w:t>
                            </w:r>
                            <w:r w:rsidR="00796488">
                              <w:rPr>
                                <w:sz w:val="20"/>
                                <w:szCs w:val="20"/>
                              </w:rPr>
                              <w:t xml:space="preserve"> and related flooding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reinsurance pool.</w:t>
                            </w:r>
                          </w:p>
                          <w:p w14:paraId="2954D472" w14:textId="2B23F92B" w:rsidR="008D12CA" w:rsidRPr="009D3621" w:rsidRDefault="008D12CA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  <w:r w:rsidRPr="009D3621">
                              <w:rPr>
                                <w:sz w:val="20"/>
                                <w:szCs w:val="20"/>
                              </w:rPr>
                              <w:t>ARPC welcomes Prime Minister</w:t>
                            </w:r>
                            <w:r w:rsidR="00551063">
                              <w:rPr>
                                <w:sz w:val="20"/>
                                <w:szCs w:val="20"/>
                              </w:rPr>
                              <w:t xml:space="preserve"> Scott Morrison’s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C9C">
                              <w:rPr>
                                <w:sz w:val="20"/>
                                <w:szCs w:val="20"/>
                              </w:rPr>
                              <w:t xml:space="preserve">4 May 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 xml:space="preserve">announcement </w:t>
                            </w:r>
                            <w:r w:rsidR="00BF6C9C">
                              <w:rPr>
                                <w:sz w:val="20"/>
                                <w:szCs w:val="20"/>
                              </w:rPr>
                              <w:t>regarding the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C7D">
                              <w:rPr>
                                <w:sz w:val="20"/>
                                <w:szCs w:val="20"/>
                              </w:rPr>
                              <w:t xml:space="preserve">intention to 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>establish a reinsurance pool for cyclone and cyclone</w:t>
                            </w:r>
                            <w:r w:rsidR="00796488">
                              <w:rPr>
                                <w:sz w:val="20"/>
                                <w:szCs w:val="20"/>
                              </w:rPr>
                              <w:t xml:space="preserve">-related 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>flooding events</w:t>
                            </w:r>
                            <w:r w:rsidR="00A31B7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66CF4A" w14:textId="4C5666A2" w:rsidR="008D12CA" w:rsidRPr="009D3621" w:rsidRDefault="008D12CA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  <w:r w:rsidRPr="009D3621">
                              <w:rPr>
                                <w:sz w:val="20"/>
                                <w:szCs w:val="20"/>
                              </w:rPr>
                              <w:t xml:space="preserve">ARPC stands ready to support the </w:t>
                            </w:r>
                            <w:r w:rsidR="00BF6C9C">
                              <w:rPr>
                                <w:sz w:val="20"/>
                                <w:szCs w:val="20"/>
                              </w:rPr>
                              <w:t xml:space="preserve">Australian </w:t>
                            </w:r>
                            <w:r w:rsidR="009E5909">
                              <w:rPr>
                                <w:sz w:val="20"/>
                                <w:szCs w:val="20"/>
                              </w:rPr>
                              <w:t xml:space="preserve">Department of the 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 xml:space="preserve">Treasury as it </w:t>
                            </w:r>
                            <w:r w:rsidR="009E5909">
                              <w:rPr>
                                <w:sz w:val="20"/>
                                <w:szCs w:val="20"/>
                              </w:rPr>
                              <w:t>undertakes</w:t>
                            </w:r>
                            <w:r w:rsidR="009E5909" w:rsidRPr="009D36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>the detailed design of the new</w:t>
                            </w:r>
                            <w:r w:rsidR="000435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9AB">
                              <w:rPr>
                                <w:sz w:val="20"/>
                                <w:szCs w:val="20"/>
                              </w:rPr>
                              <w:t>pool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B8FC65" w14:textId="38DDAC33" w:rsidR="008D12CA" w:rsidRPr="009D3621" w:rsidRDefault="008D12CA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  <w:r w:rsidRPr="009D3621">
                              <w:rPr>
                                <w:sz w:val="20"/>
                                <w:szCs w:val="20"/>
                              </w:rPr>
                              <w:t xml:space="preserve">With deep experience running a Government-backed reinsurance pool, ARPC is well positioned to engage with stakeholders in </w:t>
                            </w:r>
                            <w:r w:rsidR="009F420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>development of the new</w:t>
                            </w:r>
                            <w:r w:rsidR="000435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9AB">
                              <w:rPr>
                                <w:sz w:val="20"/>
                                <w:szCs w:val="20"/>
                              </w:rPr>
                              <w:t>pool</w:t>
                            </w:r>
                            <w:r w:rsidRPr="009D36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24E74F" w14:textId="1749EDB4" w:rsidR="00BF6C9C" w:rsidRDefault="00BF6C9C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look forward to sharing more details with you as these emerge.</w:t>
                            </w:r>
                            <w:r w:rsidR="001625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1F3466" w14:textId="0A980B49" w:rsidR="001625BE" w:rsidRDefault="001625BE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newsletter focuses on the policy intent of the new pool as provided by the Australian Government so far.</w:t>
                            </w:r>
                            <w:r w:rsidR="00847B8C">
                              <w:rPr>
                                <w:sz w:val="20"/>
                                <w:szCs w:val="20"/>
                              </w:rPr>
                              <w:t xml:space="preserve"> We hope you find it valuable. </w:t>
                            </w:r>
                          </w:p>
                          <w:p w14:paraId="30F440EA" w14:textId="6D489086" w:rsidR="00BF6C9C" w:rsidRDefault="00BF6C9C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note that ARPC remains true to its original purpose and stands ready to respond to a Declared Terrorism Incident. </w:t>
                            </w:r>
                          </w:p>
                          <w:p w14:paraId="695D379A" w14:textId="61BB6A5C" w:rsidR="00BF6C9C" w:rsidRPr="009D3621" w:rsidRDefault="00BF6C9C" w:rsidP="008D12CA">
                            <w:pPr>
                              <w:pStyle w:val="ContentsBox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DE8FEA" w14:textId="3F1B15AB" w:rsidR="008D12CA" w:rsidRDefault="008D12CA" w:rsidP="008D12CA">
                            <w:pPr>
                              <w:pStyle w:val="ContentsBox"/>
                            </w:pPr>
                          </w:p>
                          <w:p w14:paraId="0D1B1E8F" w14:textId="77777777" w:rsidR="008D12CA" w:rsidRDefault="008D12CA" w:rsidP="008D12CA">
                            <w:pPr>
                              <w:pStyle w:val="ContentsBox"/>
                            </w:pPr>
                          </w:p>
                          <w:p w14:paraId="40BA81C5" w14:textId="4C6F530B" w:rsidR="00352711" w:rsidRPr="00EC4AD6" w:rsidRDefault="00352711" w:rsidP="00EC4AD6">
                            <w:pPr>
                              <w:pStyle w:val="ContentsBox"/>
                              <w:rPr>
                                <w:color w:val="002F65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AED0" id="Text Box 10" o:spid="_x0000_s1027" type="#_x0000_t202" style="position:absolute;margin-left:161.65pt;margin-top:23.15pt;width:358.2pt;height:37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" filled="f" stroked="f" strokeweight=".5pt">
                <v:textbox inset="0,0">
                  <w:txbxContent>
                    <w:p w14:paraId="5BAD7B02" w14:textId="4127C802" w:rsidR="008D12CA" w:rsidRPr="00E92578" w:rsidRDefault="008D12CA" w:rsidP="008D12CA">
                      <w:pPr>
                        <w:pStyle w:val="ContentsBox"/>
                        <w:rPr>
                          <w:color w:val="184C8D" w:themeColor="accent3"/>
                          <w:sz w:val="22"/>
                          <w:szCs w:val="26"/>
                        </w:rPr>
                      </w:pPr>
                      <w:r w:rsidRPr="00E92578">
                        <w:rPr>
                          <w:color w:val="184C8D" w:themeColor="accent3"/>
                          <w:sz w:val="22"/>
                          <w:szCs w:val="26"/>
                        </w:rPr>
                        <w:t xml:space="preserve">ARPC ready to support new reinsurance pool </w:t>
                      </w:r>
                    </w:p>
                    <w:p w14:paraId="60E389B0" w14:textId="6E68577C" w:rsidR="001625BE" w:rsidRDefault="001625BE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  <w:r w:rsidRPr="001625BE">
                        <w:rPr>
                          <w:sz w:val="20"/>
                          <w:szCs w:val="20"/>
                        </w:rPr>
                        <w:t xml:space="preserve">This special edition of Under the Cover is the first in a series </w:t>
                      </w:r>
                      <w:r>
                        <w:rPr>
                          <w:sz w:val="20"/>
                          <w:szCs w:val="20"/>
                        </w:rPr>
                        <w:t xml:space="preserve">addressed to </w:t>
                      </w:r>
                      <w:r w:rsidRPr="001625BE">
                        <w:rPr>
                          <w:sz w:val="20"/>
                          <w:szCs w:val="20"/>
                        </w:rPr>
                        <w:t>you, our stakeholders,</w:t>
                      </w:r>
                      <w:r w:rsidR="00847B8C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1625BE">
                        <w:rPr>
                          <w:sz w:val="20"/>
                          <w:szCs w:val="20"/>
                        </w:rPr>
                        <w:t xml:space="preserve">update you on </w:t>
                      </w:r>
                      <w:r>
                        <w:rPr>
                          <w:sz w:val="20"/>
                          <w:szCs w:val="20"/>
                        </w:rPr>
                        <w:t xml:space="preserve">the progress of the </w:t>
                      </w:r>
                      <w:r w:rsidR="00FC50DD">
                        <w:rPr>
                          <w:sz w:val="20"/>
                          <w:szCs w:val="20"/>
                        </w:rPr>
                        <w:t xml:space="preserve">proposed new </w:t>
                      </w:r>
                      <w:r>
                        <w:rPr>
                          <w:sz w:val="20"/>
                          <w:szCs w:val="20"/>
                        </w:rPr>
                        <w:t>cyclone</w:t>
                      </w:r>
                      <w:r w:rsidR="00796488">
                        <w:rPr>
                          <w:sz w:val="20"/>
                          <w:szCs w:val="20"/>
                        </w:rPr>
                        <w:t xml:space="preserve"> and related flooding</w:t>
                      </w:r>
                      <w:r>
                        <w:rPr>
                          <w:sz w:val="20"/>
                          <w:szCs w:val="20"/>
                        </w:rPr>
                        <w:t xml:space="preserve"> reinsurance pool.</w:t>
                      </w:r>
                    </w:p>
                    <w:p w14:paraId="2954D472" w14:textId="2B23F92B" w:rsidR="008D12CA" w:rsidRPr="009D3621" w:rsidRDefault="008D12CA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  <w:r w:rsidRPr="009D3621">
                        <w:rPr>
                          <w:sz w:val="20"/>
                          <w:szCs w:val="20"/>
                        </w:rPr>
                        <w:t>ARPC welcomes Prime Minister</w:t>
                      </w:r>
                      <w:r w:rsidR="00551063">
                        <w:rPr>
                          <w:sz w:val="20"/>
                          <w:szCs w:val="20"/>
                        </w:rPr>
                        <w:t xml:space="preserve"> Scott Morrison’s</w:t>
                      </w:r>
                      <w:r w:rsidRPr="009D36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6C9C">
                        <w:rPr>
                          <w:sz w:val="20"/>
                          <w:szCs w:val="20"/>
                        </w:rPr>
                        <w:t xml:space="preserve">4 May </w:t>
                      </w:r>
                      <w:r w:rsidRPr="009D3621">
                        <w:rPr>
                          <w:sz w:val="20"/>
                          <w:szCs w:val="20"/>
                        </w:rPr>
                        <w:t xml:space="preserve">announcement </w:t>
                      </w:r>
                      <w:r w:rsidR="00BF6C9C">
                        <w:rPr>
                          <w:sz w:val="20"/>
                          <w:szCs w:val="20"/>
                        </w:rPr>
                        <w:t>regarding the</w:t>
                      </w:r>
                      <w:r w:rsidRPr="009D36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4C7D">
                        <w:rPr>
                          <w:sz w:val="20"/>
                          <w:szCs w:val="20"/>
                        </w:rPr>
                        <w:t xml:space="preserve">intention to </w:t>
                      </w:r>
                      <w:r w:rsidRPr="009D3621">
                        <w:rPr>
                          <w:sz w:val="20"/>
                          <w:szCs w:val="20"/>
                        </w:rPr>
                        <w:t>establish a reinsurance pool for cyclone and cyclone</w:t>
                      </w:r>
                      <w:r w:rsidR="00796488">
                        <w:rPr>
                          <w:sz w:val="20"/>
                          <w:szCs w:val="20"/>
                        </w:rPr>
                        <w:t xml:space="preserve">-related </w:t>
                      </w:r>
                      <w:r w:rsidRPr="009D3621">
                        <w:rPr>
                          <w:sz w:val="20"/>
                          <w:szCs w:val="20"/>
                        </w:rPr>
                        <w:t>flooding events</w:t>
                      </w:r>
                      <w:r w:rsidR="00A31B7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66CF4A" w14:textId="4C5666A2" w:rsidR="008D12CA" w:rsidRPr="009D3621" w:rsidRDefault="008D12CA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  <w:r w:rsidRPr="009D3621">
                        <w:rPr>
                          <w:sz w:val="20"/>
                          <w:szCs w:val="20"/>
                        </w:rPr>
                        <w:t xml:space="preserve">ARPC stands ready to support the </w:t>
                      </w:r>
                      <w:r w:rsidR="00BF6C9C">
                        <w:rPr>
                          <w:sz w:val="20"/>
                          <w:szCs w:val="20"/>
                        </w:rPr>
                        <w:t xml:space="preserve">Australian </w:t>
                      </w:r>
                      <w:r w:rsidR="009E5909">
                        <w:rPr>
                          <w:sz w:val="20"/>
                          <w:szCs w:val="20"/>
                        </w:rPr>
                        <w:t xml:space="preserve">Department of the </w:t>
                      </w:r>
                      <w:r w:rsidRPr="009D3621">
                        <w:rPr>
                          <w:sz w:val="20"/>
                          <w:szCs w:val="20"/>
                        </w:rPr>
                        <w:t xml:space="preserve">Treasury as it </w:t>
                      </w:r>
                      <w:r w:rsidR="009E5909">
                        <w:rPr>
                          <w:sz w:val="20"/>
                          <w:szCs w:val="20"/>
                        </w:rPr>
                        <w:t>undertakes</w:t>
                      </w:r>
                      <w:r w:rsidR="009E5909" w:rsidRPr="009D36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3621">
                        <w:rPr>
                          <w:sz w:val="20"/>
                          <w:szCs w:val="20"/>
                        </w:rPr>
                        <w:t>the detailed design of the new</w:t>
                      </w:r>
                      <w:r w:rsidR="000435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79AB">
                        <w:rPr>
                          <w:sz w:val="20"/>
                          <w:szCs w:val="20"/>
                        </w:rPr>
                        <w:t>pool</w:t>
                      </w:r>
                      <w:r w:rsidRPr="009D362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CB8FC65" w14:textId="38DDAC33" w:rsidR="008D12CA" w:rsidRPr="009D3621" w:rsidRDefault="008D12CA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  <w:r w:rsidRPr="009D3621">
                        <w:rPr>
                          <w:sz w:val="20"/>
                          <w:szCs w:val="20"/>
                        </w:rPr>
                        <w:t xml:space="preserve">With deep experience running a Government-backed reinsurance pool, ARPC is well positioned to engage with stakeholders in </w:t>
                      </w:r>
                      <w:r w:rsidR="009F4208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9D3621">
                        <w:rPr>
                          <w:sz w:val="20"/>
                          <w:szCs w:val="20"/>
                        </w:rPr>
                        <w:t>development of the new</w:t>
                      </w:r>
                      <w:r w:rsidR="000435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79AB">
                        <w:rPr>
                          <w:sz w:val="20"/>
                          <w:szCs w:val="20"/>
                        </w:rPr>
                        <w:t>pool</w:t>
                      </w:r>
                      <w:r w:rsidRPr="009D362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E24E74F" w14:textId="1749EDB4" w:rsidR="00BF6C9C" w:rsidRDefault="00BF6C9C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look forward to sharing more details with you as these emerge.</w:t>
                      </w:r>
                      <w:r w:rsidR="001625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1F3466" w14:textId="0A980B49" w:rsidR="001625BE" w:rsidRDefault="001625BE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newsletter focuses on the policy intent of the new pool as provided by the Australian Government so far.</w:t>
                      </w:r>
                      <w:r w:rsidR="00847B8C">
                        <w:rPr>
                          <w:sz w:val="20"/>
                          <w:szCs w:val="20"/>
                        </w:rPr>
                        <w:t xml:space="preserve"> We hope you find it valuable. </w:t>
                      </w:r>
                    </w:p>
                    <w:p w14:paraId="30F440EA" w14:textId="6D489086" w:rsidR="00BF6C9C" w:rsidRDefault="00BF6C9C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note that ARPC remains true to its original purpose and stands ready to respond to a Declared Terrorism Incident. </w:t>
                      </w:r>
                    </w:p>
                    <w:p w14:paraId="695D379A" w14:textId="61BB6A5C" w:rsidR="00BF6C9C" w:rsidRPr="009D3621" w:rsidRDefault="00BF6C9C" w:rsidP="008D12CA">
                      <w:pPr>
                        <w:pStyle w:val="ContentsBox"/>
                        <w:rPr>
                          <w:sz w:val="20"/>
                          <w:szCs w:val="20"/>
                        </w:rPr>
                      </w:pPr>
                    </w:p>
                    <w:p w14:paraId="56DE8FEA" w14:textId="3F1B15AB" w:rsidR="008D12CA" w:rsidRDefault="008D12CA" w:rsidP="008D12CA">
                      <w:pPr>
                        <w:pStyle w:val="ContentsBox"/>
                      </w:pPr>
                    </w:p>
                    <w:p w14:paraId="0D1B1E8F" w14:textId="77777777" w:rsidR="008D12CA" w:rsidRDefault="008D12CA" w:rsidP="008D12CA">
                      <w:pPr>
                        <w:pStyle w:val="ContentsBox"/>
                      </w:pPr>
                    </w:p>
                    <w:p w14:paraId="40BA81C5" w14:textId="4C6F530B" w:rsidR="00352711" w:rsidRPr="00EC4AD6" w:rsidRDefault="00352711" w:rsidP="00EC4AD6">
                      <w:pPr>
                        <w:pStyle w:val="ContentsBox"/>
                        <w:rPr>
                          <w:color w:val="002F65"/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F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760F3A" wp14:editId="686A04C7">
                <wp:simplePos x="0" y="0"/>
                <wp:positionH relativeFrom="column">
                  <wp:posOffset>4808509</wp:posOffset>
                </wp:positionH>
                <wp:positionV relativeFrom="paragraph">
                  <wp:posOffset>-1176655</wp:posOffset>
                </wp:positionV>
                <wp:extent cx="181864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A3D6A" w14:textId="3AABB8FB" w:rsidR="00326995" w:rsidRPr="00895849" w:rsidRDefault="008D12CA" w:rsidP="00895849">
                            <w:pPr>
                              <w:pStyle w:val="ContentsBox"/>
                              <w:jc w:val="right"/>
                            </w:pPr>
                            <w:r>
                              <w:t>May</w:t>
                            </w:r>
                            <w:r w:rsidR="00864A06">
                              <w:t xml:space="preserve"> </w:t>
                            </w:r>
                            <w:r w:rsidR="000905FA">
                              <w:t>202</w:t>
                            </w:r>
                            <w:r w:rsidR="00F024FF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60F3A" id="Text Box 2" o:spid="_x0000_s1028" type="#_x0000_t202" style="position:absolute;margin-left:378.6pt;margin-top:-92.65pt;width:143.2pt;height:2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" fillcolor="white [3201]" stroked="f" strokeweight=".5pt">
                <v:textbox>
                  <w:txbxContent>
                    <w:p w14:paraId="07AA3D6A" w14:textId="3AABB8FB" w:rsidR="00326995" w:rsidRPr="00895849" w:rsidRDefault="008D12CA" w:rsidP="00895849">
                      <w:pPr>
                        <w:pStyle w:val="ContentsBox"/>
                        <w:jc w:val="right"/>
                      </w:pPr>
                      <w:r>
                        <w:t>May</w:t>
                      </w:r>
                      <w:r w:rsidR="00864A06">
                        <w:t xml:space="preserve"> </w:t>
                      </w:r>
                      <w:r w:rsidR="000905FA">
                        <w:t>202</w:t>
                      </w:r>
                      <w:r w:rsidR="00F024FF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69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7D89D" wp14:editId="033B0419">
                <wp:simplePos x="0" y="0"/>
                <wp:positionH relativeFrom="column">
                  <wp:posOffset>-138199</wp:posOffset>
                </wp:positionH>
                <wp:positionV relativeFrom="paragraph">
                  <wp:posOffset>-365357</wp:posOffset>
                </wp:positionV>
                <wp:extent cx="1785620" cy="515389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5153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11E42" w14:textId="0E3BF5E6" w:rsidR="008D12CA" w:rsidRDefault="007322B3" w:rsidP="008D12CA">
                            <w:pPr>
                              <w:pStyle w:val="ContentsBox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ARPC ready to support new reinsurance pool</w:t>
                            </w:r>
                          </w:p>
                          <w:p w14:paraId="171291B0" w14:textId="1681DCE5" w:rsidR="008D12CA" w:rsidRPr="00C82F48" w:rsidRDefault="00CD7CF7" w:rsidP="008D12CA">
                            <w:pPr>
                              <w:pStyle w:val="ContentsBox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new policy proposal announcement </w:t>
                            </w:r>
                          </w:p>
                          <w:p w14:paraId="3E6BB9E5" w14:textId="30A2AFA6" w:rsidR="008D12CA" w:rsidRPr="00E829DB" w:rsidRDefault="00CD7CF7" w:rsidP="008D12CA">
                            <w:pPr>
                              <w:pStyle w:val="ContentsBox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do we know about the cyclone</w:t>
                            </w:r>
                            <w:r w:rsidR="00796488">
                              <w:rPr>
                                <w:b/>
                                <w:bCs/>
                              </w:rPr>
                              <w:t xml:space="preserve"> and related flooding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E18B9">
                              <w:rPr>
                                <w:b/>
                                <w:bCs/>
                              </w:rPr>
                              <w:t xml:space="preserve">reinsurance </w:t>
                            </w:r>
                            <w:r>
                              <w:rPr>
                                <w:b/>
                                <w:bCs/>
                              </w:rPr>
                              <w:t>pool so far?</w:t>
                            </w:r>
                          </w:p>
                          <w:p w14:paraId="6ED059BD" w14:textId="2B7AA599" w:rsidR="00CD7CF7" w:rsidRDefault="00CD7CF7" w:rsidP="008D12CA">
                            <w:pPr>
                              <w:pStyle w:val="ContentsBox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premium savings can consumers expect? </w:t>
                            </w:r>
                          </w:p>
                          <w:p w14:paraId="1B2F95BB" w14:textId="4B8B04F1" w:rsidR="00255D7C" w:rsidRPr="00E829DB" w:rsidRDefault="00255D7C" w:rsidP="008D12CA">
                            <w:pPr>
                              <w:pStyle w:val="ContentsBox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happens next? </w:t>
                            </w:r>
                          </w:p>
                          <w:p w14:paraId="45C75F6E" w14:textId="36FD4594" w:rsidR="008D12CA" w:rsidRPr="00E829DB" w:rsidRDefault="00E96493" w:rsidP="008D12CA">
                            <w:pPr>
                              <w:pStyle w:val="ContentsBox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Questions </w:t>
                            </w:r>
                          </w:p>
                          <w:p w14:paraId="64043083" w14:textId="77777777" w:rsidR="007707DF" w:rsidRPr="00352711" w:rsidRDefault="007707DF" w:rsidP="00352711">
                            <w:pPr>
                              <w:pStyle w:val="ContentsBox"/>
                            </w:pPr>
                          </w:p>
                          <w:p w14:paraId="0FC60582" w14:textId="77777777" w:rsidR="00352711" w:rsidRDefault="00352711" w:rsidP="00352711">
                            <w:pPr>
                              <w:pStyle w:val="ContentsBo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D89D" id="Text Box 9" o:spid="_x0000_s1029" type="#_x0000_t202" style="position:absolute;margin-left:-10.9pt;margin-top:-28.75pt;width:140.6pt;height:40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" filled="f" stroked="f" strokeweight=".5pt">
                <v:textbox inset="0,0">
                  <w:txbxContent>
                    <w:p w14:paraId="43A11E42" w14:textId="0E3BF5E6" w:rsidR="008D12CA" w:rsidRDefault="007322B3" w:rsidP="008D12CA">
                      <w:pPr>
                        <w:pStyle w:val="ContentsBox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ARPC ready to support new reinsurance pool</w:t>
                      </w:r>
                    </w:p>
                    <w:p w14:paraId="171291B0" w14:textId="1681DCE5" w:rsidR="008D12CA" w:rsidRPr="00C82F48" w:rsidRDefault="00CD7CF7" w:rsidP="008D12CA">
                      <w:pPr>
                        <w:pStyle w:val="ContentsBox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new policy proposal announcement </w:t>
                      </w:r>
                    </w:p>
                    <w:p w14:paraId="3E6BB9E5" w14:textId="30A2AFA6" w:rsidR="008D12CA" w:rsidRPr="00E829DB" w:rsidRDefault="00CD7CF7" w:rsidP="008D12CA">
                      <w:pPr>
                        <w:pStyle w:val="ContentsBox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do we know about the cyclone</w:t>
                      </w:r>
                      <w:r w:rsidR="00796488">
                        <w:rPr>
                          <w:b/>
                          <w:bCs/>
                        </w:rPr>
                        <w:t xml:space="preserve"> and related flooding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E18B9">
                        <w:rPr>
                          <w:b/>
                          <w:bCs/>
                        </w:rPr>
                        <w:t xml:space="preserve">reinsurance </w:t>
                      </w:r>
                      <w:r>
                        <w:rPr>
                          <w:b/>
                          <w:bCs/>
                        </w:rPr>
                        <w:t>pool so far?</w:t>
                      </w:r>
                    </w:p>
                    <w:p w14:paraId="6ED059BD" w14:textId="2B7AA599" w:rsidR="00CD7CF7" w:rsidRDefault="00CD7CF7" w:rsidP="008D12CA">
                      <w:pPr>
                        <w:pStyle w:val="ContentsBox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premium savings can consumers expect? </w:t>
                      </w:r>
                    </w:p>
                    <w:p w14:paraId="1B2F95BB" w14:textId="4B8B04F1" w:rsidR="00255D7C" w:rsidRPr="00E829DB" w:rsidRDefault="00255D7C" w:rsidP="008D12CA">
                      <w:pPr>
                        <w:pStyle w:val="ContentsBox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happens next? </w:t>
                      </w:r>
                    </w:p>
                    <w:p w14:paraId="45C75F6E" w14:textId="36FD4594" w:rsidR="008D12CA" w:rsidRPr="00E829DB" w:rsidRDefault="00E96493" w:rsidP="008D12CA">
                      <w:pPr>
                        <w:pStyle w:val="ContentsBox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Questions </w:t>
                      </w:r>
                    </w:p>
                    <w:p w14:paraId="64043083" w14:textId="77777777" w:rsidR="007707DF" w:rsidRPr="00352711" w:rsidRDefault="007707DF" w:rsidP="00352711">
                      <w:pPr>
                        <w:pStyle w:val="ContentsBox"/>
                      </w:pPr>
                    </w:p>
                    <w:p w14:paraId="0FC60582" w14:textId="77777777" w:rsidR="00352711" w:rsidRDefault="00352711" w:rsidP="00352711">
                      <w:pPr>
                        <w:pStyle w:val="ContentsBox"/>
                      </w:pPr>
                    </w:p>
                  </w:txbxContent>
                </v:textbox>
              </v:shape>
            </w:pict>
          </mc:Fallback>
        </mc:AlternateContent>
      </w:r>
    </w:p>
    <w:p w14:paraId="6473DA31" w14:textId="77777777" w:rsidR="00F430F0" w:rsidRPr="00F430F0" w:rsidRDefault="00F430F0" w:rsidP="006D241C">
      <w:pPr>
        <w:pStyle w:val="HeadingOne"/>
      </w:pPr>
      <w:r w:rsidRPr="00F430F0">
        <w:lastRenderedPageBreak/>
        <w:t>The new policy proposal announcement</w:t>
      </w:r>
    </w:p>
    <w:p w14:paraId="4B86880E" w14:textId="1777A0B9" w:rsidR="00F430F0" w:rsidRDefault="00F430F0" w:rsidP="00F430F0">
      <w:pPr>
        <w:pStyle w:val="ContentsBox"/>
        <w:rPr>
          <w:rFonts w:cstheme="minorHAnsi"/>
          <w:sz w:val="20"/>
          <w:szCs w:val="20"/>
        </w:rPr>
      </w:pPr>
      <w:r w:rsidRPr="00F430F0">
        <w:rPr>
          <w:rFonts w:cstheme="minorHAnsi"/>
          <w:sz w:val="20"/>
          <w:szCs w:val="20"/>
        </w:rPr>
        <w:t xml:space="preserve">The Australian Government has announced that it </w:t>
      </w:r>
      <w:r w:rsidR="00796488">
        <w:rPr>
          <w:rFonts w:cstheme="minorHAnsi"/>
          <w:sz w:val="20"/>
          <w:szCs w:val="20"/>
        </w:rPr>
        <w:t>intends to</w:t>
      </w:r>
      <w:r w:rsidR="00796488" w:rsidRPr="00F430F0">
        <w:rPr>
          <w:rFonts w:cstheme="minorHAnsi"/>
          <w:sz w:val="20"/>
          <w:szCs w:val="20"/>
        </w:rPr>
        <w:t xml:space="preserve"> </w:t>
      </w:r>
      <w:r w:rsidRPr="00F430F0">
        <w:rPr>
          <w:rFonts w:cstheme="minorHAnsi"/>
          <w:sz w:val="20"/>
          <w:szCs w:val="20"/>
        </w:rPr>
        <w:t xml:space="preserve">establish a reinsurance pool to cover cyclone and related flood damage to commence from 1 July 2022. </w:t>
      </w:r>
    </w:p>
    <w:p w14:paraId="1949B288" w14:textId="6A135EF7" w:rsidR="00F82644" w:rsidRPr="00F430F0" w:rsidRDefault="0013227D" w:rsidP="00F430F0">
      <w:pPr>
        <w:pStyle w:val="ContentsBox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policy is intended to </w:t>
      </w:r>
      <w:r w:rsidR="001451BB">
        <w:rPr>
          <w:rFonts w:cstheme="minorHAnsi"/>
          <w:sz w:val="20"/>
          <w:szCs w:val="20"/>
        </w:rPr>
        <w:t xml:space="preserve">improve </w:t>
      </w:r>
      <w:r w:rsidR="007E18B9">
        <w:rPr>
          <w:rFonts w:cstheme="minorHAnsi"/>
          <w:sz w:val="20"/>
          <w:szCs w:val="20"/>
        </w:rPr>
        <w:t xml:space="preserve">the </w:t>
      </w:r>
      <w:r w:rsidR="001451BB">
        <w:rPr>
          <w:rFonts w:cstheme="minorHAnsi"/>
          <w:sz w:val="20"/>
          <w:szCs w:val="20"/>
        </w:rPr>
        <w:t>affordability and accessibility</w:t>
      </w:r>
      <w:r w:rsidR="007E18B9">
        <w:rPr>
          <w:rFonts w:cstheme="minorHAnsi"/>
          <w:sz w:val="20"/>
          <w:szCs w:val="20"/>
        </w:rPr>
        <w:t xml:space="preserve"> of</w:t>
      </w:r>
      <w:r>
        <w:rPr>
          <w:rFonts w:cstheme="minorHAnsi"/>
          <w:sz w:val="20"/>
          <w:szCs w:val="20"/>
        </w:rPr>
        <w:t xml:space="preserve"> insurance in</w:t>
      </w:r>
      <w:r w:rsidR="00D57EA3">
        <w:rPr>
          <w:rFonts w:cstheme="minorHAnsi"/>
          <w:sz w:val="20"/>
          <w:szCs w:val="20"/>
        </w:rPr>
        <w:t xml:space="preserve"> cyclone-prone areas, predominantly located in</w:t>
      </w:r>
      <w:r>
        <w:rPr>
          <w:rFonts w:cstheme="minorHAnsi"/>
          <w:sz w:val="20"/>
          <w:szCs w:val="20"/>
        </w:rPr>
        <w:t xml:space="preserve"> northern Australia</w:t>
      </w:r>
      <w:r w:rsidR="00D57E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and is a significant policy announcement for the insurance sector and for the residents and </w:t>
      </w:r>
      <w:r w:rsidR="007E18B9">
        <w:rPr>
          <w:rFonts w:cstheme="minorHAnsi"/>
          <w:sz w:val="20"/>
          <w:szCs w:val="20"/>
        </w:rPr>
        <w:t xml:space="preserve">small </w:t>
      </w:r>
      <w:r>
        <w:rPr>
          <w:rFonts w:cstheme="minorHAnsi"/>
          <w:sz w:val="20"/>
          <w:szCs w:val="20"/>
        </w:rPr>
        <w:t>business</w:t>
      </w:r>
      <w:r w:rsidR="0001502D">
        <w:rPr>
          <w:rFonts w:cstheme="minorHAnsi"/>
          <w:sz w:val="20"/>
          <w:szCs w:val="20"/>
        </w:rPr>
        <w:t>es</w:t>
      </w:r>
      <w:r>
        <w:rPr>
          <w:rFonts w:cstheme="minorHAnsi"/>
          <w:sz w:val="20"/>
          <w:szCs w:val="20"/>
        </w:rPr>
        <w:t xml:space="preserve"> in th</w:t>
      </w:r>
      <w:r w:rsidR="00D85B69">
        <w:rPr>
          <w:rFonts w:cstheme="minorHAnsi"/>
          <w:sz w:val="20"/>
          <w:szCs w:val="20"/>
        </w:rPr>
        <w:t>ose</w:t>
      </w:r>
      <w:r>
        <w:rPr>
          <w:rFonts w:cstheme="minorHAnsi"/>
          <w:sz w:val="20"/>
          <w:szCs w:val="20"/>
        </w:rPr>
        <w:t xml:space="preserve"> </w:t>
      </w:r>
      <w:r w:rsidR="00D85B69">
        <w:rPr>
          <w:rFonts w:cstheme="minorHAnsi"/>
          <w:sz w:val="20"/>
          <w:szCs w:val="20"/>
        </w:rPr>
        <w:t>areas</w:t>
      </w:r>
      <w:r>
        <w:rPr>
          <w:rFonts w:cstheme="minorHAnsi"/>
          <w:sz w:val="20"/>
          <w:szCs w:val="20"/>
        </w:rPr>
        <w:t xml:space="preserve">. </w:t>
      </w:r>
    </w:p>
    <w:p w14:paraId="031E5D67" w14:textId="69D4B056" w:rsidR="00F430F0" w:rsidRPr="00F430F0" w:rsidRDefault="00F430F0" w:rsidP="00F430F0">
      <w:pPr>
        <w:pStyle w:val="ContentsBox"/>
        <w:rPr>
          <w:rFonts w:cstheme="minorHAnsi"/>
          <w:sz w:val="20"/>
          <w:szCs w:val="20"/>
          <w:lang w:val="en-AU"/>
        </w:rPr>
      </w:pPr>
      <w:r w:rsidRPr="00F430F0">
        <w:rPr>
          <w:rFonts w:cstheme="minorHAnsi"/>
          <w:sz w:val="20"/>
          <w:szCs w:val="20"/>
        </w:rPr>
        <w:t xml:space="preserve">The reinsurance pool was announced at a media doorstop in Cairns, far north Queensland, on 4 May 2021, by The Hon. Scott Morrison MP, Prime Minister of Australia; The Hon. Michael </w:t>
      </w:r>
      <w:proofErr w:type="spellStart"/>
      <w:r w:rsidRPr="00F430F0">
        <w:rPr>
          <w:rFonts w:cstheme="minorHAnsi"/>
          <w:sz w:val="20"/>
          <w:szCs w:val="20"/>
        </w:rPr>
        <w:t>Sukkar</w:t>
      </w:r>
      <w:proofErr w:type="spellEnd"/>
      <w:r w:rsidRPr="00F430F0">
        <w:rPr>
          <w:rFonts w:cstheme="minorHAnsi"/>
          <w:sz w:val="20"/>
          <w:szCs w:val="20"/>
        </w:rPr>
        <w:t xml:space="preserve"> MP, Assistant Treasurer, </w:t>
      </w:r>
      <w:r w:rsidRPr="00F430F0">
        <w:rPr>
          <w:rFonts w:cstheme="minorHAnsi"/>
          <w:sz w:val="20"/>
          <w:szCs w:val="20"/>
          <w:lang w:val="en-AU"/>
        </w:rPr>
        <w:t xml:space="preserve">Minister for Housing, Minister for Homelessness, Social and Community Housing; </w:t>
      </w:r>
      <w:r w:rsidRPr="00F430F0">
        <w:rPr>
          <w:rFonts w:cstheme="minorHAnsi"/>
          <w:sz w:val="20"/>
          <w:szCs w:val="20"/>
        </w:rPr>
        <w:t>The Hon. Warren Entsch MP, Member for Leichhardt</w:t>
      </w:r>
      <w:r w:rsidR="00D55D3B">
        <w:rPr>
          <w:rFonts w:cstheme="minorHAnsi"/>
          <w:sz w:val="20"/>
          <w:szCs w:val="20"/>
        </w:rPr>
        <w:t>; and Mr. Phillip Thompson OAM, MP, Member for Herbert</w:t>
      </w:r>
      <w:r w:rsidRPr="00F430F0">
        <w:rPr>
          <w:rFonts w:cstheme="minorHAnsi"/>
          <w:sz w:val="20"/>
          <w:szCs w:val="20"/>
        </w:rPr>
        <w:t>.</w:t>
      </w:r>
    </w:p>
    <w:p w14:paraId="3EF1E381" w14:textId="05F5AB17" w:rsidR="00F430F0" w:rsidRPr="00F430F0" w:rsidRDefault="00F430F0" w:rsidP="00F430F0">
      <w:pPr>
        <w:pStyle w:val="ContentsBox"/>
        <w:rPr>
          <w:rFonts w:cstheme="minorHAnsi"/>
          <w:sz w:val="20"/>
          <w:szCs w:val="20"/>
        </w:rPr>
      </w:pPr>
      <w:r w:rsidRPr="00F430F0">
        <w:rPr>
          <w:rFonts w:cstheme="minorHAnsi"/>
          <w:sz w:val="20"/>
          <w:szCs w:val="20"/>
        </w:rPr>
        <w:t xml:space="preserve">Further information can be found in the joint media release issued 4 May 2021 by </w:t>
      </w:r>
      <w:r w:rsidR="00F73AF1">
        <w:rPr>
          <w:rFonts w:cstheme="minorHAnsi"/>
          <w:sz w:val="20"/>
          <w:szCs w:val="20"/>
        </w:rPr>
        <w:t>The Hon</w:t>
      </w:r>
      <w:r w:rsidR="00847B8C">
        <w:rPr>
          <w:rFonts w:cstheme="minorHAnsi"/>
          <w:sz w:val="20"/>
          <w:szCs w:val="20"/>
        </w:rPr>
        <w:t>.</w:t>
      </w:r>
      <w:r w:rsidR="00F73AF1">
        <w:rPr>
          <w:rFonts w:cstheme="minorHAnsi"/>
          <w:sz w:val="20"/>
          <w:szCs w:val="20"/>
        </w:rPr>
        <w:t xml:space="preserve"> Scott Morrison MP, </w:t>
      </w:r>
      <w:r w:rsidRPr="00F430F0">
        <w:rPr>
          <w:rFonts w:cstheme="minorHAnsi"/>
          <w:sz w:val="20"/>
          <w:szCs w:val="20"/>
        </w:rPr>
        <w:t>Prime Minister</w:t>
      </w:r>
      <w:r w:rsidR="00F73AF1">
        <w:rPr>
          <w:rFonts w:cstheme="minorHAnsi"/>
          <w:sz w:val="20"/>
          <w:szCs w:val="20"/>
        </w:rPr>
        <w:t>;</w:t>
      </w:r>
      <w:r w:rsidRPr="00F430F0">
        <w:rPr>
          <w:rFonts w:cstheme="minorHAnsi"/>
          <w:sz w:val="20"/>
          <w:szCs w:val="20"/>
        </w:rPr>
        <w:t xml:space="preserve"> The Hon. Josh Frydenberg MP, Treasurer; The Hon. David </w:t>
      </w:r>
      <w:proofErr w:type="spellStart"/>
      <w:r w:rsidRPr="00F430F0">
        <w:rPr>
          <w:rFonts w:cstheme="minorHAnsi"/>
          <w:sz w:val="20"/>
          <w:szCs w:val="20"/>
        </w:rPr>
        <w:t>Littleproud</w:t>
      </w:r>
      <w:proofErr w:type="spellEnd"/>
      <w:r w:rsidRPr="00F430F0">
        <w:rPr>
          <w:rFonts w:cstheme="minorHAnsi"/>
          <w:sz w:val="20"/>
          <w:szCs w:val="20"/>
        </w:rPr>
        <w:t xml:space="preserve">, </w:t>
      </w:r>
      <w:r w:rsidRPr="00F430F0">
        <w:rPr>
          <w:rFonts w:cstheme="minorHAnsi"/>
          <w:sz w:val="20"/>
          <w:szCs w:val="20"/>
          <w:lang w:val="en-AU"/>
        </w:rPr>
        <w:t>Minister for Agriculture, Drought and Emergency Management;</w:t>
      </w:r>
      <w:r w:rsidRPr="00F430F0">
        <w:rPr>
          <w:rFonts w:cstheme="minorHAnsi"/>
          <w:b/>
          <w:bCs/>
          <w:sz w:val="20"/>
          <w:szCs w:val="20"/>
          <w:lang w:val="en-AU"/>
        </w:rPr>
        <w:t xml:space="preserve"> </w:t>
      </w:r>
      <w:r w:rsidRPr="00F430F0">
        <w:rPr>
          <w:rFonts w:cstheme="minorHAnsi"/>
          <w:sz w:val="20"/>
          <w:szCs w:val="20"/>
          <w:lang w:val="en-AU"/>
        </w:rPr>
        <w:t>and</w:t>
      </w:r>
      <w:r w:rsidRPr="00F430F0">
        <w:rPr>
          <w:rFonts w:cstheme="minorHAnsi"/>
          <w:b/>
          <w:bCs/>
          <w:sz w:val="20"/>
          <w:szCs w:val="20"/>
          <w:lang w:val="en-AU"/>
        </w:rPr>
        <w:t xml:space="preserve"> </w:t>
      </w:r>
      <w:r w:rsidRPr="00F430F0">
        <w:rPr>
          <w:rFonts w:cstheme="minorHAnsi"/>
          <w:sz w:val="20"/>
          <w:szCs w:val="20"/>
          <w:lang w:val="en-AU"/>
        </w:rPr>
        <w:t>The Hon. Keith Pitt MP, Minister for Resources, Water and Northern Australia.</w:t>
      </w:r>
      <w:r w:rsidRPr="00F430F0">
        <w:rPr>
          <w:rFonts w:cstheme="minorHAnsi"/>
          <w:b/>
          <w:bCs/>
          <w:sz w:val="20"/>
          <w:szCs w:val="20"/>
          <w:lang w:val="en-AU"/>
        </w:rPr>
        <w:t xml:space="preserve"> </w:t>
      </w:r>
    </w:p>
    <w:p w14:paraId="60B19059" w14:textId="77777777" w:rsidR="00F430F0" w:rsidRPr="00F430F0" w:rsidRDefault="00F430F0" w:rsidP="00F430F0">
      <w:pPr>
        <w:pStyle w:val="ContentsBox"/>
        <w:rPr>
          <w:rFonts w:cstheme="minorHAnsi"/>
          <w:color w:val="auto"/>
          <w:sz w:val="20"/>
          <w:szCs w:val="20"/>
        </w:rPr>
      </w:pPr>
      <w:r w:rsidRPr="00F430F0">
        <w:rPr>
          <w:rFonts w:cstheme="minorHAnsi"/>
          <w:sz w:val="20"/>
          <w:szCs w:val="20"/>
        </w:rPr>
        <w:t xml:space="preserve">The joint media release containing the Prime Minister’s announcement can be found </w:t>
      </w:r>
      <w:hyperlink r:id="rId16" w:history="1">
        <w:r w:rsidRPr="00F430F0">
          <w:rPr>
            <w:rStyle w:val="Hyperlink"/>
            <w:rFonts w:cstheme="minorHAnsi"/>
            <w:color w:val="002060"/>
            <w:sz w:val="20"/>
            <w:szCs w:val="20"/>
          </w:rPr>
          <w:t>here</w:t>
        </w:r>
      </w:hyperlink>
      <w:r w:rsidRPr="00F430F0">
        <w:rPr>
          <w:rFonts w:cstheme="minorHAnsi"/>
          <w:color w:val="auto"/>
          <w:sz w:val="20"/>
          <w:szCs w:val="20"/>
        </w:rPr>
        <w:t xml:space="preserve">. </w:t>
      </w:r>
      <w:r w:rsidRPr="00F430F0">
        <w:rPr>
          <w:rFonts w:cstheme="minorHAnsi"/>
          <w:sz w:val="20"/>
          <w:szCs w:val="20"/>
        </w:rPr>
        <w:t xml:space="preserve">The Cairns media doorstop transcript can be found </w:t>
      </w:r>
      <w:hyperlink r:id="rId17" w:history="1">
        <w:r w:rsidRPr="00F430F0">
          <w:rPr>
            <w:rStyle w:val="Hyperlink"/>
            <w:rFonts w:cstheme="minorHAnsi"/>
            <w:color w:val="002060"/>
            <w:sz w:val="20"/>
            <w:szCs w:val="20"/>
          </w:rPr>
          <w:t>here</w:t>
        </w:r>
      </w:hyperlink>
      <w:r w:rsidRPr="00F430F0">
        <w:rPr>
          <w:rFonts w:cstheme="minorHAnsi"/>
          <w:color w:val="auto"/>
          <w:sz w:val="20"/>
          <w:szCs w:val="20"/>
        </w:rPr>
        <w:t>.</w:t>
      </w:r>
    </w:p>
    <w:p w14:paraId="16FB97ED" w14:textId="0CEBEB58" w:rsidR="00F430F0" w:rsidRPr="00F430F0" w:rsidRDefault="00F430F0" w:rsidP="00F430F0">
      <w:pPr>
        <w:pStyle w:val="ContentsBox"/>
        <w:rPr>
          <w:rFonts w:cstheme="minorHAnsi"/>
          <w:sz w:val="20"/>
          <w:szCs w:val="20"/>
        </w:rPr>
      </w:pPr>
      <w:r w:rsidRPr="00F430F0">
        <w:rPr>
          <w:rFonts w:cstheme="minorHAnsi"/>
          <w:sz w:val="20"/>
          <w:szCs w:val="20"/>
        </w:rPr>
        <w:t xml:space="preserve">In response to the Prime Minister’s announcement, ARPC issued a media release welcoming the cyclone reinsurance pool proposal and committed to supporting Treasury as it completes </w:t>
      </w:r>
      <w:r w:rsidR="0001502D">
        <w:rPr>
          <w:rFonts w:cstheme="minorHAnsi"/>
          <w:sz w:val="20"/>
          <w:szCs w:val="20"/>
        </w:rPr>
        <w:t xml:space="preserve">the </w:t>
      </w:r>
      <w:r w:rsidRPr="00F430F0">
        <w:rPr>
          <w:rFonts w:cstheme="minorHAnsi"/>
          <w:sz w:val="20"/>
          <w:szCs w:val="20"/>
        </w:rPr>
        <w:t>detailed design of the pool.</w:t>
      </w:r>
    </w:p>
    <w:p w14:paraId="18F1CAC3" w14:textId="78A1DBCF" w:rsidR="00F430F0" w:rsidRPr="00F430F0" w:rsidRDefault="00F430F0" w:rsidP="00E3232A">
      <w:pPr>
        <w:pStyle w:val="ContentsBox"/>
        <w:rPr>
          <w:rFonts w:cstheme="minorHAnsi"/>
          <w:sz w:val="20"/>
          <w:szCs w:val="20"/>
        </w:rPr>
      </w:pPr>
      <w:r w:rsidRPr="00F430F0">
        <w:rPr>
          <w:rFonts w:cstheme="minorHAnsi"/>
          <w:sz w:val="20"/>
          <w:szCs w:val="20"/>
          <w:lang w:val="en-AU"/>
        </w:rPr>
        <w:t>ARPC’s media release can be read</w:t>
      </w:r>
      <w:r w:rsidR="00DF694D">
        <w:rPr>
          <w:rFonts w:cstheme="minorHAnsi"/>
          <w:sz w:val="20"/>
          <w:szCs w:val="20"/>
          <w:lang w:val="en-AU"/>
        </w:rPr>
        <w:t xml:space="preserve"> </w:t>
      </w:r>
      <w:hyperlink r:id="rId18" w:history="1">
        <w:r w:rsidRPr="00F430F0">
          <w:rPr>
            <w:rStyle w:val="Hyperlink"/>
            <w:rFonts w:cstheme="minorHAnsi"/>
            <w:color w:val="002060"/>
            <w:sz w:val="20"/>
            <w:szCs w:val="20"/>
            <w:lang w:val="en-AU"/>
          </w:rPr>
          <w:t>here</w:t>
        </w:r>
        <w:r w:rsidRPr="00F430F0">
          <w:rPr>
            <w:rStyle w:val="Hyperlink"/>
            <w:rFonts w:cstheme="minorHAnsi"/>
            <w:color w:val="auto"/>
            <w:sz w:val="20"/>
            <w:szCs w:val="20"/>
            <w:lang w:val="en-AU"/>
          </w:rPr>
          <w:t>.</w:t>
        </w:r>
      </w:hyperlink>
      <w:r w:rsidRPr="00F430F0">
        <w:rPr>
          <w:rFonts w:cstheme="minorHAnsi"/>
          <w:sz w:val="20"/>
          <w:szCs w:val="20"/>
          <w:lang w:val="en-AU"/>
        </w:rPr>
        <w:t xml:space="preserve"> </w:t>
      </w:r>
    </w:p>
    <w:p w14:paraId="0EFC6CBD" w14:textId="433FA026" w:rsidR="00F430F0" w:rsidRPr="00F430F0" w:rsidRDefault="00F430F0" w:rsidP="006D241C">
      <w:pPr>
        <w:pStyle w:val="HeadingOne"/>
      </w:pPr>
      <w:r w:rsidRPr="00F430F0">
        <w:t xml:space="preserve">What do we know about the cyclone </w:t>
      </w:r>
      <w:r w:rsidR="00C74305">
        <w:t>and related flood</w:t>
      </w:r>
      <w:r w:rsidR="00541B1D">
        <w:t>ing</w:t>
      </w:r>
      <w:r w:rsidR="0001502D">
        <w:t xml:space="preserve"> reinsurance </w:t>
      </w:r>
      <w:r w:rsidRPr="00F430F0">
        <w:t xml:space="preserve">pool so far? </w:t>
      </w:r>
    </w:p>
    <w:p w14:paraId="04E45698" w14:textId="00D07456" w:rsidR="00F430F0" w:rsidRPr="00F430F0" w:rsidRDefault="00F430F0" w:rsidP="00F430F0">
      <w:pPr>
        <w:pStyle w:val="ContentsBox"/>
        <w:rPr>
          <w:rFonts w:cstheme="minorHAnsi"/>
          <w:sz w:val="20"/>
          <w:szCs w:val="20"/>
        </w:rPr>
      </w:pPr>
      <w:r w:rsidRPr="00F430F0">
        <w:rPr>
          <w:rFonts w:cstheme="minorHAnsi"/>
          <w:sz w:val="20"/>
          <w:szCs w:val="20"/>
        </w:rPr>
        <w:t xml:space="preserve">At this stage, we know </w:t>
      </w:r>
      <w:r w:rsidR="00F73AF1">
        <w:rPr>
          <w:rFonts w:cstheme="minorHAnsi"/>
          <w:sz w:val="20"/>
          <w:szCs w:val="20"/>
        </w:rPr>
        <w:t>that:</w:t>
      </w:r>
    </w:p>
    <w:p w14:paraId="46DAC715" w14:textId="4FCC6813" w:rsidR="00F430F0" w:rsidRPr="006D241C" w:rsidRDefault="00F430F0" w:rsidP="006D241C">
      <w:pPr>
        <w:pStyle w:val="Bullet"/>
        <w:rPr>
          <w:rFonts w:asciiTheme="minorHAnsi" w:hAnsiTheme="minorHAnsi" w:cstheme="minorHAnsi"/>
          <w:b/>
          <w:bCs/>
        </w:rPr>
      </w:pPr>
      <w:r w:rsidRPr="006D241C">
        <w:rPr>
          <w:rFonts w:asciiTheme="minorHAnsi" w:hAnsiTheme="minorHAnsi" w:cstheme="minorHAnsi"/>
        </w:rPr>
        <w:t>The reinsurance pool w</w:t>
      </w:r>
      <w:r w:rsidR="00C74305">
        <w:rPr>
          <w:rFonts w:asciiTheme="minorHAnsi" w:hAnsiTheme="minorHAnsi" w:cstheme="minorHAnsi"/>
        </w:rPr>
        <w:t>ould</w:t>
      </w:r>
      <w:r w:rsidRPr="006D241C">
        <w:rPr>
          <w:rFonts w:asciiTheme="minorHAnsi" w:hAnsiTheme="minorHAnsi" w:cstheme="minorHAnsi"/>
        </w:rPr>
        <w:t xml:space="preserve"> cover cyclone and cyclone-related flood damage in </w:t>
      </w:r>
      <w:r w:rsidR="00A969C6" w:rsidRPr="00A969C6">
        <w:rPr>
          <w:rFonts w:asciiTheme="minorHAnsi" w:hAnsiTheme="minorHAnsi" w:cstheme="minorHAnsi"/>
        </w:rPr>
        <w:t>cyclone-prone areas, predominantly located in northern Australia</w:t>
      </w:r>
      <w:r w:rsidR="00A969C6">
        <w:rPr>
          <w:rFonts w:asciiTheme="minorHAnsi" w:hAnsiTheme="minorHAnsi" w:cstheme="minorHAnsi"/>
        </w:rPr>
        <w:t>,</w:t>
      </w:r>
      <w:r w:rsidRPr="006D241C">
        <w:rPr>
          <w:rFonts w:asciiTheme="minorHAnsi" w:hAnsiTheme="minorHAnsi" w:cstheme="minorHAnsi"/>
        </w:rPr>
        <w:t xml:space="preserve"> from 1 July 2022.</w:t>
      </w:r>
    </w:p>
    <w:p w14:paraId="45D7E0D0" w14:textId="16358BA8" w:rsidR="007E18B9" w:rsidRPr="007E18B9" w:rsidRDefault="007E18B9" w:rsidP="007E18B9">
      <w:pPr>
        <w:pStyle w:val="Bullet"/>
        <w:rPr>
          <w:rFonts w:asciiTheme="minorHAnsi" w:hAnsiTheme="minorHAnsi" w:cstheme="minorHAnsi"/>
        </w:rPr>
      </w:pPr>
      <w:r w:rsidRPr="007E18B9">
        <w:rPr>
          <w:rFonts w:asciiTheme="minorHAnsi" w:hAnsiTheme="minorHAnsi" w:cstheme="minorHAnsi"/>
        </w:rPr>
        <w:t>Northern Australia comprises that part of Australia lying north of the Tropic of Capricorn</w:t>
      </w:r>
      <w:r>
        <w:rPr>
          <w:rFonts w:asciiTheme="minorHAnsi" w:hAnsiTheme="minorHAnsi" w:cstheme="minorHAnsi"/>
        </w:rPr>
        <w:t>, including</w:t>
      </w:r>
      <w:r w:rsidRPr="007E18B9">
        <w:rPr>
          <w:rFonts w:asciiTheme="minorHAnsi" w:hAnsiTheme="minorHAnsi" w:cstheme="minorHAnsi"/>
        </w:rPr>
        <w:t xml:space="preserve"> northern Queensland, the Northern Territory and northern WA. </w:t>
      </w:r>
    </w:p>
    <w:p w14:paraId="524F55D0" w14:textId="4327F745" w:rsidR="00F73AF1" w:rsidRPr="006D241C" w:rsidRDefault="00F73AF1" w:rsidP="006D241C">
      <w:pPr>
        <w:pStyle w:val="Bullet"/>
        <w:rPr>
          <w:rFonts w:asciiTheme="minorHAnsi" w:hAnsiTheme="minorHAnsi" w:cstheme="minorHAnsi"/>
          <w:b/>
          <w:bCs/>
        </w:rPr>
      </w:pPr>
      <w:r w:rsidRPr="006D241C">
        <w:rPr>
          <w:rFonts w:asciiTheme="minorHAnsi" w:hAnsiTheme="minorHAnsi" w:cstheme="minorHAnsi"/>
        </w:rPr>
        <w:t xml:space="preserve">The pool </w:t>
      </w:r>
      <w:r w:rsidR="00C74305" w:rsidRPr="006D241C">
        <w:rPr>
          <w:rFonts w:asciiTheme="minorHAnsi" w:hAnsiTheme="minorHAnsi" w:cstheme="minorHAnsi"/>
        </w:rPr>
        <w:t>w</w:t>
      </w:r>
      <w:r w:rsidR="00C74305">
        <w:rPr>
          <w:rFonts w:asciiTheme="minorHAnsi" w:hAnsiTheme="minorHAnsi" w:cstheme="minorHAnsi"/>
        </w:rPr>
        <w:t xml:space="preserve">ould </w:t>
      </w:r>
      <w:r w:rsidRPr="006D241C">
        <w:rPr>
          <w:rFonts w:asciiTheme="minorHAnsi" w:hAnsiTheme="minorHAnsi" w:cstheme="minorHAnsi"/>
        </w:rPr>
        <w:t xml:space="preserve">be administered by ARPC and cover home insurance, strata insurance and small business property insurance in </w:t>
      </w:r>
      <w:r w:rsidR="00A31B7C">
        <w:rPr>
          <w:rFonts w:asciiTheme="minorHAnsi" w:hAnsiTheme="minorHAnsi" w:cstheme="minorHAnsi"/>
        </w:rPr>
        <w:t>cyclone-prone areas.</w:t>
      </w:r>
    </w:p>
    <w:p w14:paraId="52143D81" w14:textId="6F45F02C" w:rsidR="00F430F0" w:rsidRPr="006D241C" w:rsidRDefault="00F430F0" w:rsidP="006D241C">
      <w:pPr>
        <w:pStyle w:val="Bullet"/>
        <w:rPr>
          <w:rFonts w:asciiTheme="minorHAnsi" w:hAnsiTheme="minorHAnsi" w:cstheme="minorHAnsi"/>
        </w:rPr>
      </w:pPr>
      <w:r w:rsidRPr="006D241C">
        <w:rPr>
          <w:rFonts w:asciiTheme="minorHAnsi" w:hAnsiTheme="minorHAnsi" w:cstheme="minorHAnsi"/>
        </w:rPr>
        <w:t>The Government w</w:t>
      </w:r>
      <w:r w:rsidR="00C74305">
        <w:rPr>
          <w:rFonts w:asciiTheme="minorHAnsi" w:hAnsiTheme="minorHAnsi" w:cstheme="minorHAnsi"/>
        </w:rPr>
        <w:t>ould</w:t>
      </w:r>
      <w:r w:rsidRPr="006D241C">
        <w:rPr>
          <w:rFonts w:asciiTheme="minorHAnsi" w:hAnsiTheme="minorHAnsi" w:cstheme="minorHAnsi"/>
        </w:rPr>
        <w:t xml:space="preserve"> provide a $10 billion annually reinstated guarantee to </w:t>
      </w:r>
      <w:r w:rsidR="00F73AF1" w:rsidRPr="006D241C">
        <w:rPr>
          <w:rFonts w:asciiTheme="minorHAnsi" w:hAnsiTheme="minorHAnsi" w:cstheme="minorHAnsi"/>
        </w:rPr>
        <w:t xml:space="preserve">ARPC </w:t>
      </w:r>
      <w:r w:rsidRPr="006D241C">
        <w:rPr>
          <w:rFonts w:asciiTheme="minorHAnsi" w:hAnsiTheme="minorHAnsi" w:cstheme="minorHAnsi"/>
        </w:rPr>
        <w:t xml:space="preserve">in support of administering </w:t>
      </w:r>
      <w:r w:rsidR="00F73AF1" w:rsidRPr="006D241C">
        <w:rPr>
          <w:rFonts w:asciiTheme="minorHAnsi" w:hAnsiTheme="minorHAnsi" w:cstheme="minorHAnsi"/>
        </w:rPr>
        <w:t>the</w:t>
      </w:r>
      <w:r w:rsidRPr="006D241C">
        <w:rPr>
          <w:rFonts w:asciiTheme="minorHAnsi" w:hAnsiTheme="minorHAnsi" w:cstheme="minorHAnsi"/>
        </w:rPr>
        <w:t xml:space="preserve"> reinsurance pool</w:t>
      </w:r>
      <w:r w:rsidR="00F73AF1" w:rsidRPr="006D241C">
        <w:rPr>
          <w:rFonts w:asciiTheme="minorHAnsi" w:hAnsiTheme="minorHAnsi" w:cstheme="minorHAnsi"/>
        </w:rPr>
        <w:t>.</w:t>
      </w:r>
    </w:p>
    <w:p w14:paraId="6D8865A3" w14:textId="7B8950C6" w:rsidR="00F430F0" w:rsidRPr="006D241C" w:rsidRDefault="00F430F0" w:rsidP="006D241C">
      <w:pPr>
        <w:pStyle w:val="Bullet"/>
        <w:rPr>
          <w:rFonts w:asciiTheme="minorHAnsi" w:hAnsiTheme="minorHAnsi" w:cstheme="minorHAnsi"/>
        </w:rPr>
      </w:pPr>
      <w:r w:rsidRPr="006D241C">
        <w:rPr>
          <w:rFonts w:asciiTheme="minorHAnsi" w:hAnsiTheme="minorHAnsi" w:cstheme="minorHAnsi"/>
        </w:rPr>
        <w:t>Details of the intended guarantee will be subject to consultation and further Government consideration</w:t>
      </w:r>
      <w:r w:rsidR="00F73AF1" w:rsidRPr="006D241C">
        <w:rPr>
          <w:rFonts w:asciiTheme="minorHAnsi" w:hAnsiTheme="minorHAnsi" w:cstheme="minorHAnsi"/>
        </w:rPr>
        <w:t>. The guarantee may be</w:t>
      </w:r>
      <w:r w:rsidRPr="006D241C">
        <w:rPr>
          <w:rFonts w:asciiTheme="minorHAnsi" w:hAnsiTheme="minorHAnsi" w:cstheme="minorHAnsi"/>
        </w:rPr>
        <w:t xml:space="preserve"> called upon </w:t>
      </w:r>
      <w:r w:rsidR="00F73AF1" w:rsidRPr="006D241C">
        <w:rPr>
          <w:rFonts w:asciiTheme="minorHAnsi" w:hAnsiTheme="minorHAnsi" w:cstheme="minorHAnsi"/>
        </w:rPr>
        <w:t xml:space="preserve">during a year in which there are </w:t>
      </w:r>
      <w:r w:rsidRPr="006D241C">
        <w:rPr>
          <w:rFonts w:asciiTheme="minorHAnsi" w:hAnsiTheme="minorHAnsi" w:cstheme="minorHAnsi"/>
        </w:rPr>
        <w:t>a high number of cyclones and related flooding, to ensure ARPC can pay any liabilities.</w:t>
      </w:r>
    </w:p>
    <w:p w14:paraId="24B00E03" w14:textId="09272DE3" w:rsidR="00F430F0" w:rsidRPr="006D241C" w:rsidRDefault="00F430F0" w:rsidP="006D241C">
      <w:pPr>
        <w:pStyle w:val="Bullet"/>
        <w:rPr>
          <w:rFonts w:asciiTheme="minorHAnsi" w:hAnsiTheme="minorHAnsi" w:cstheme="minorHAnsi"/>
        </w:rPr>
      </w:pPr>
      <w:r w:rsidRPr="006D241C">
        <w:rPr>
          <w:rFonts w:asciiTheme="minorHAnsi" w:hAnsiTheme="minorHAnsi" w:cstheme="minorHAnsi"/>
        </w:rPr>
        <w:t xml:space="preserve">The reinsurance pool will be designed to be cost-neutral to </w:t>
      </w:r>
      <w:r w:rsidR="00B11229">
        <w:rPr>
          <w:rFonts w:asciiTheme="minorHAnsi" w:hAnsiTheme="minorHAnsi" w:cstheme="minorHAnsi"/>
        </w:rPr>
        <w:t xml:space="preserve">the </w:t>
      </w:r>
      <w:r w:rsidRPr="006D241C">
        <w:rPr>
          <w:rFonts w:asciiTheme="minorHAnsi" w:hAnsiTheme="minorHAnsi" w:cstheme="minorHAnsi"/>
        </w:rPr>
        <w:t xml:space="preserve">Government over </w:t>
      </w:r>
      <w:r w:rsidR="00B11229">
        <w:rPr>
          <w:rFonts w:asciiTheme="minorHAnsi" w:hAnsiTheme="minorHAnsi" w:cstheme="minorHAnsi"/>
        </w:rPr>
        <w:t>the long term</w:t>
      </w:r>
      <w:r w:rsidRPr="006D241C">
        <w:rPr>
          <w:rFonts w:asciiTheme="minorHAnsi" w:hAnsiTheme="minorHAnsi" w:cstheme="minorHAnsi"/>
        </w:rPr>
        <w:t>, based on the predicted cost and frequency of cyclone events. Further modelling on the potential costs of the guarantee will be undertaken</w:t>
      </w:r>
      <w:r w:rsidR="00662F32">
        <w:rPr>
          <w:rFonts w:asciiTheme="minorHAnsi" w:hAnsiTheme="minorHAnsi" w:cstheme="minorHAnsi"/>
        </w:rPr>
        <w:t xml:space="preserve"> </w:t>
      </w:r>
      <w:r w:rsidR="00A969C6">
        <w:rPr>
          <w:rFonts w:asciiTheme="minorHAnsi" w:hAnsiTheme="minorHAnsi" w:cstheme="minorHAnsi"/>
        </w:rPr>
        <w:t>during the design process</w:t>
      </w:r>
      <w:r w:rsidRPr="006D241C">
        <w:rPr>
          <w:rFonts w:asciiTheme="minorHAnsi" w:hAnsiTheme="minorHAnsi" w:cstheme="minorHAnsi"/>
        </w:rPr>
        <w:t>.</w:t>
      </w:r>
    </w:p>
    <w:p w14:paraId="11163CDE" w14:textId="436F3937" w:rsidR="00F430F0" w:rsidRPr="00122616" w:rsidRDefault="00122616" w:rsidP="00122616">
      <w:pPr>
        <w:pStyle w:val="Bullet"/>
        <w:rPr>
          <w:rFonts w:asciiTheme="minorHAnsi" w:hAnsiTheme="minorHAnsi" w:cstheme="minorHAnsi"/>
          <w:b/>
          <w:bCs/>
        </w:rPr>
      </w:pPr>
      <w:r w:rsidRPr="006D241C">
        <w:rPr>
          <w:rFonts w:asciiTheme="minorHAnsi" w:hAnsiTheme="minorHAnsi" w:cstheme="minorHAnsi"/>
        </w:rPr>
        <w:t xml:space="preserve">The pool </w:t>
      </w:r>
      <w:r w:rsidR="00212B76">
        <w:rPr>
          <w:rFonts w:asciiTheme="minorHAnsi" w:hAnsiTheme="minorHAnsi" w:cstheme="minorHAnsi"/>
        </w:rPr>
        <w:t xml:space="preserve">implementation </w:t>
      </w:r>
      <w:r w:rsidRPr="006D241C">
        <w:rPr>
          <w:rFonts w:asciiTheme="minorHAnsi" w:hAnsiTheme="minorHAnsi" w:cstheme="minorHAnsi"/>
        </w:rPr>
        <w:t>will be subject to a Treasury-led Taskforce and industry consultation on its design and</w:t>
      </w:r>
      <w:r>
        <w:rPr>
          <w:rFonts w:asciiTheme="minorHAnsi" w:hAnsiTheme="minorHAnsi" w:cstheme="minorHAnsi"/>
        </w:rPr>
        <w:t xml:space="preserve"> will ultimately require</w:t>
      </w:r>
      <w:r w:rsidRPr="006D241C">
        <w:rPr>
          <w:rFonts w:asciiTheme="minorHAnsi" w:hAnsiTheme="minorHAnsi" w:cstheme="minorHAnsi"/>
        </w:rPr>
        <w:t xml:space="preserve"> Parliamentary approval.</w:t>
      </w:r>
    </w:p>
    <w:p w14:paraId="12FD758E" w14:textId="60DF44A0" w:rsidR="00F430F0" w:rsidRPr="006D241C" w:rsidRDefault="00F430F0" w:rsidP="006D241C">
      <w:pPr>
        <w:pStyle w:val="Bullet"/>
        <w:rPr>
          <w:rFonts w:asciiTheme="minorHAnsi" w:hAnsiTheme="minorHAnsi" w:cstheme="minorHAnsi"/>
        </w:rPr>
      </w:pPr>
      <w:r w:rsidRPr="006D241C">
        <w:rPr>
          <w:rFonts w:asciiTheme="minorHAnsi" w:hAnsiTheme="minorHAnsi" w:cstheme="minorHAnsi"/>
        </w:rPr>
        <w:t xml:space="preserve">There are more than 500,000 </w:t>
      </w:r>
      <w:r w:rsidR="008F369A">
        <w:rPr>
          <w:rFonts w:asciiTheme="minorHAnsi" w:hAnsiTheme="minorHAnsi" w:cstheme="minorHAnsi"/>
        </w:rPr>
        <w:t xml:space="preserve">insurance </w:t>
      </w:r>
      <w:r w:rsidRPr="006D241C">
        <w:rPr>
          <w:rFonts w:asciiTheme="minorHAnsi" w:hAnsiTheme="minorHAnsi" w:cstheme="minorHAnsi"/>
        </w:rPr>
        <w:t>policies expected to be eligible to be covered by the new reinsurance pool.</w:t>
      </w:r>
    </w:p>
    <w:p w14:paraId="20938EDF" w14:textId="47D5460E" w:rsidR="00F430F0" w:rsidRPr="006D241C" w:rsidRDefault="00F430F0" w:rsidP="006D241C">
      <w:pPr>
        <w:pStyle w:val="Bullet"/>
        <w:rPr>
          <w:rFonts w:asciiTheme="minorHAnsi" w:hAnsiTheme="minorHAnsi" w:cstheme="minorHAnsi"/>
          <w:b/>
          <w:bCs/>
        </w:rPr>
      </w:pPr>
      <w:r w:rsidRPr="006D241C">
        <w:rPr>
          <w:rFonts w:asciiTheme="minorHAnsi" w:hAnsiTheme="minorHAnsi" w:cstheme="minorHAnsi"/>
        </w:rPr>
        <w:t>The new</w:t>
      </w:r>
      <w:r w:rsidR="007A5FF4">
        <w:rPr>
          <w:rFonts w:asciiTheme="minorHAnsi" w:hAnsiTheme="minorHAnsi" w:cstheme="minorHAnsi"/>
        </w:rPr>
        <w:t xml:space="preserve"> proposed</w:t>
      </w:r>
      <w:r w:rsidRPr="006D241C">
        <w:rPr>
          <w:rFonts w:asciiTheme="minorHAnsi" w:hAnsiTheme="minorHAnsi" w:cstheme="minorHAnsi"/>
        </w:rPr>
        <w:t xml:space="preserve"> $10 billion Commonwealth guarantee is expected to be separate to the </w:t>
      </w:r>
      <w:r w:rsidR="00293842" w:rsidRPr="006D241C">
        <w:rPr>
          <w:rFonts w:asciiTheme="minorHAnsi" w:hAnsiTheme="minorHAnsi" w:cstheme="minorHAnsi"/>
        </w:rPr>
        <w:t xml:space="preserve">existing </w:t>
      </w:r>
      <w:r w:rsidRPr="006D241C">
        <w:rPr>
          <w:rFonts w:asciiTheme="minorHAnsi" w:hAnsiTheme="minorHAnsi" w:cstheme="minorHAnsi"/>
        </w:rPr>
        <w:t>ARPC terrorism reinsurance pool guarantee.</w:t>
      </w:r>
    </w:p>
    <w:p w14:paraId="57DCC306" w14:textId="20C4440D" w:rsidR="00F430F0" w:rsidRPr="00F430F0" w:rsidRDefault="00F430F0" w:rsidP="006D241C">
      <w:pPr>
        <w:pStyle w:val="HeadingOne"/>
      </w:pPr>
      <w:r w:rsidRPr="00F430F0">
        <w:t>What premium savings can consumers expect?</w:t>
      </w:r>
    </w:p>
    <w:p w14:paraId="4B3297FE" w14:textId="442EB467" w:rsidR="00F430F0" w:rsidRPr="00F430F0" w:rsidRDefault="005A0575" w:rsidP="00F430F0">
      <w:pPr>
        <w:pStyle w:val="ContentsBox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According to the</w:t>
      </w:r>
      <w:r w:rsidR="00F430F0" w:rsidRPr="00F430F0">
        <w:rPr>
          <w:rFonts w:cstheme="minorHAnsi"/>
          <w:sz w:val="20"/>
          <w:szCs w:val="20"/>
        </w:rPr>
        <w:t xml:space="preserve"> Government announcement</w:t>
      </w:r>
      <w:r>
        <w:rPr>
          <w:rFonts w:cstheme="minorHAnsi"/>
          <w:sz w:val="20"/>
          <w:szCs w:val="20"/>
        </w:rPr>
        <w:t>,</w:t>
      </w:r>
      <w:r w:rsidR="00F430F0" w:rsidRPr="00F430F0">
        <w:rPr>
          <w:rFonts w:cstheme="minorHAnsi"/>
          <w:sz w:val="20"/>
          <w:szCs w:val="20"/>
        </w:rPr>
        <w:t xml:space="preserve"> the cyclone </w:t>
      </w:r>
      <w:r w:rsidR="003200F3">
        <w:rPr>
          <w:rFonts w:cstheme="minorHAnsi"/>
          <w:sz w:val="20"/>
          <w:szCs w:val="20"/>
        </w:rPr>
        <w:t xml:space="preserve">and related flooding </w:t>
      </w:r>
      <w:r w:rsidR="00F430F0" w:rsidRPr="00F430F0">
        <w:rPr>
          <w:rFonts w:cstheme="minorHAnsi"/>
          <w:sz w:val="20"/>
          <w:szCs w:val="20"/>
        </w:rPr>
        <w:t xml:space="preserve">reinsurance pool </w:t>
      </w:r>
      <w:r w:rsidR="00662F32">
        <w:rPr>
          <w:rFonts w:cstheme="minorHAnsi"/>
          <w:sz w:val="20"/>
          <w:szCs w:val="20"/>
        </w:rPr>
        <w:t>would</w:t>
      </w:r>
      <w:r w:rsidR="00662F32" w:rsidRPr="00F430F0">
        <w:rPr>
          <w:rFonts w:cstheme="minorHAnsi"/>
          <w:sz w:val="20"/>
          <w:szCs w:val="20"/>
        </w:rPr>
        <w:t xml:space="preserve"> </w:t>
      </w:r>
      <w:r w:rsidR="00F430F0" w:rsidRPr="00F430F0">
        <w:rPr>
          <w:rFonts w:cstheme="minorHAnsi"/>
          <w:sz w:val="20"/>
          <w:szCs w:val="20"/>
        </w:rPr>
        <w:t xml:space="preserve">reduce premiums across northern Australia by more than $1.5 billion over 10 years for households, </w:t>
      </w:r>
      <w:proofErr w:type="gramStart"/>
      <w:r w:rsidR="00F430F0" w:rsidRPr="00F430F0">
        <w:rPr>
          <w:rFonts w:cstheme="minorHAnsi"/>
          <w:sz w:val="20"/>
          <w:szCs w:val="20"/>
        </w:rPr>
        <w:t>strata</w:t>
      </w:r>
      <w:proofErr w:type="gramEnd"/>
      <w:r w:rsidR="00F430F0" w:rsidRPr="00F430F0">
        <w:rPr>
          <w:rFonts w:cstheme="minorHAnsi"/>
          <w:sz w:val="20"/>
          <w:szCs w:val="20"/>
        </w:rPr>
        <w:t xml:space="preserve"> and small business</w:t>
      </w:r>
      <w:r w:rsidR="007837EC">
        <w:rPr>
          <w:rFonts w:cstheme="minorHAnsi"/>
          <w:sz w:val="20"/>
          <w:szCs w:val="20"/>
        </w:rPr>
        <w:t>es</w:t>
      </w:r>
      <w:r w:rsidR="00F430F0" w:rsidRPr="00F430F0">
        <w:rPr>
          <w:rFonts w:cstheme="minorHAnsi"/>
          <w:sz w:val="20"/>
          <w:szCs w:val="20"/>
        </w:rPr>
        <w:t>.</w:t>
      </w:r>
    </w:p>
    <w:p w14:paraId="115887EE" w14:textId="4527060E" w:rsidR="00CA67F8" w:rsidRDefault="00F430F0" w:rsidP="00F430F0">
      <w:pPr>
        <w:pStyle w:val="ContentsBox"/>
        <w:rPr>
          <w:rFonts w:cstheme="minorHAnsi"/>
          <w:sz w:val="20"/>
          <w:szCs w:val="20"/>
        </w:rPr>
      </w:pPr>
      <w:r w:rsidRPr="00F430F0">
        <w:rPr>
          <w:rFonts w:cstheme="minorHAnsi"/>
          <w:sz w:val="20"/>
          <w:szCs w:val="20"/>
        </w:rPr>
        <w:t>ARPC expects premium savings to occur through the pool setting a reinsurance price that</w:t>
      </w:r>
      <w:r w:rsidR="007E18B9">
        <w:rPr>
          <w:rFonts w:cstheme="minorHAnsi"/>
          <w:sz w:val="20"/>
          <w:szCs w:val="20"/>
        </w:rPr>
        <w:t xml:space="preserve"> does</w:t>
      </w:r>
      <w:r w:rsidR="00C74305">
        <w:rPr>
          <w:rFonts w:cstheme="minorHAnsi"/>
          <w:sz w:val="20"/>
          <w:szCs w:val="20"/>
        </w:rPr>
        <w:t xml:space="preserve"> not charge a profit margin </w:t>
      </w:r>
      <w:r w:rsidR="00C74305" w:rsidRPr="00C74305">
        <w:rPr>
          <w:rFonts w:cstheme="minorHAnsi"/>
          <w:sz w:val="20"/>
          <w:szCs w:val="20"/>
        </w:rPr>
        <w:t>and being backed by a government guarantee</w:t>
      </w:r>
      <w:r w:rsidR="00C74305">
        <w:rPr>
          <w:rFonts w:cstheme="minorHAnsi"/>
          <w:sz w:val="20"/>
          <w:szCs w:val="20"/>
        </w:rPr>
        <w:t>.</w:t>
      </w:r>
    </w:p>
    <w:p w14:paraId="195A3162" w14:textId="14B783F2" w:rsidR="00F430F0" w:rsidRPr="00F430F0" w:rsidRDefault="00F430F0" w:rsidP="006D241C">
      <w:pPr>
        <w:pStyle w:val="HeadingOne"/>
        <w:rPr>
          <w:sz w:val="20"/>
          <w:szCs w:val="20"/>
        </w:rPr>
      </w:pPr>
      <w:r w:rsidRPr="00F430F0">
        <w:t xml:space="preserve">What happens next? </w:t>
      </w:r>
    </w:p>
    <w:p w14:paraId="3425297C" w14:textId="5854F276" w:rsidR="00F430F0" w:rsidRPr="00F430F0" w:rsidRDefault="005A0575" w:rsidP="00F430F0">
      <w:pPr>
        <w:pStyle w:val="ContentsBox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  <w:r w:rsidR="00F430F0" w:rsidRPr="00F430F0">
        <w:rPr>
          <w:rFonts w:cstheme="minorHAnsi"/>
          <w:sz w:val="20"/>
          <w:szCs w:val="20"/>
        </w:rPr>
        <w:t xml:space="preserve">Treasury-led Taskforce will work to develop the final design of the reinsurance pool in close consultation with industry. Pool design will be </w:t>
      </w:r>
      <w:r w:rsidR="00F430F0" w:rsidRPr="00485A1F">
        <w:rPr>
          <w:rFonts w:cstheme="minorHAnsi"/>
          <w:sz w:val="20"/>
          <w:szCs w:val="20"/>
          <w:lang w:val="en-AU"/>
        </w:rPr>
        <w:t>finali</w:t>
      </w:r>
      <w:r w:rsidR="00485A1F" w:rsidRPr="00485A1F">
        <w:rPr>
          <w:rFonts w:cstheme="minorHAnsi"/>
          <w:sz w:val="20"/>
          <w:szCs w:val="20"/>
          <w:lang w:val="en-AU"/>
        </w:rPr>
        <w:t>s</w:t>
      </w:r>
      <w:r w:rsidR="00F430F0" w:rsidRPr="00485A1F">
        <w:rPr>
          <w:rFonts w:cstheme="minorHAnsi"/>
          <w:sz w:val="20"/>
          <w:szCs w:val="20"/>
          <w:lang w:val="en-AU"/>
        </w:rPr>
        <w:t>ed</w:t>
      </w:r>
      <w:r w:rsidR="00F430F0" w:rsidRPr="00F430F0">
        <w:rPr>
          <w:rFonts w:cstheme="minorHAnsi"/>
          <w:sz w:val="20"/>
          <w:szCs w:val="20"/>
        </w:rPr>
        <w:t xml:space="preserve"> following the consultation process.</w:t>
      </w:r>
    </w:p>
    <w:p w14:paraId="030083C8" w14:textId="2B11EDAB" w:rsidR="00F430F0" w:rsidRPr="00F430F0" w:rsidRDefault="00F430F0" w:rsidP="00F430F0">
      <w:pPr>
        <w:pStyle w:val="ContentsBox"/>
        <w:rPr>
          <w:rFonts w:cstheme="minorHAnsi"/>
          <w:sz w:val="20"/>
          <w:szCs w:val="20"/>
        </w:rPr>
      </w:pPr>
      <w:r w:rsidRPr="00F430F0">
        <w:rPr>
          <w:rFonts w:cstheme="minorHAnsi"/>
          <w:sz w:val="20"/>
          <w:szCs w:val="20"/>
        </w:rPr>
        <w:lastRenderedPageBreak/>
        <w:t>In the 11 May Federal Budget</w:t>
      </w:r>
      <w:r w:rsidR="00156DAF">
        <w:rPr>
          <w:rFonts w:cstheme="minorHAnsi"/>
          <w:sz w:val="20"/>
          <w:szCs w:val="20"/>
        </w:rPr>
        <w:t xml:space="preserve"> papers</w:t>
      </w:r>
      <w:r w:rsidRPr="00F430F0">
        <w:rPr>
          <w:rFonts w:cstheme="minorHAnsi"/>
          <w:sz w:val="20"/>
          <w:szCs w:val="20"/>
        </w:rPr>
        <w:t xml:space="preserve">, the Government </w:t>
      </w:r>
      <w:r w:rsidR="005A0575">
        <w:rPr>
          <w:rFonts w:cstheme="minorHAnsi"/>
          <w:sz w:val="20"/>
          <w:szCs w:val="20"/>
        </w:rPr>
        <w:t xml:space="preserve">stated that </w:t>
      </w:r>
      <w:r w:rsidRPr="00F430F0">
        <w:rPr>
          <w:rFonts w:cstheme="minorHAnsi"/>
          <w:sz w:val="20"/>
          <w:szCs w:val="20"/>
        </w:rPr>
        <w:t>it w</w:t>
      </w:r>
      <w:r w:rsidR="00156DAF">
        <w:rPr>
          <w:rFonts w:cstheme="minorHAnsi"/>
          <w:sz w:val="20"/>
          <w:szCs w:val="20"/>
        </w:rPr>
        <w:t xml:space="preserve">ould </w:t>
      </w:r>
      <w:r w:rsidRPr="00F430F0">
        <w:rPr>
          <w:rFonts w:cstheme="minorHAnsi"/>
          <w:sz w:val="20"/>
          <w:szCs w:val="20"/>
        </w:rPr>
        <w:t xml:space="preserve">provide $2.4 million in 2021-22 to the Department of the Treasury to establish </w:t>
      </w:r>
      <w:r w:rsidR="00C74305">
        <w:rPr>
          <w:rFonts w:cstheme="minorHAnsi"/>
          <w:sz w:val="20"/>
          <w:szCs w:val="20"/>
        </w:rPr>
        <w:t>the Reinsurance Pool Taskforce</w:t>
      </w:r>
      <w:r w:rsidRPr="00F430F0">
        <w:rPr>
          <w:rFonts w:cstheme="minorHAnsi"/>
          <w:sz w:val="20"/>
          <w:szCs w:val="20"/>
        </w:rPr>
        <w:t xml:space="preserve"> to consult industry and </w:t>
      </w:r>
      <w:r w:rsidRPr="00F430F0">
        <w:rPr>
          <w:rFonts w:cstheme="minorHAnsi"/>
          <w:sz w:val="20"/>
          <w:szCs w:val="20"/>
        </w:rPr>
        <w:t>experts on the design and implementation of the</w:t>
      </w:r>
      <w:r>
        <w:rPr>
          <w:rFonts w:cstheme="minorHAnsi"/>
          <w:sz w:val="20"/>
          <w:szCs w:val="20"/>
        </w:rPr>
        <w:t xml:space="preserve"> </w:t>
      </w:r>
      <w:r w:rsidRPr="00F430F0">
        <w:rPr>
          <w:rFonts w:cstheme="minorHAnsi"/>
          <w:sz w:val="20"/>
          <w:szCs w:val="20"/>
        </w:rPr>
        <w:t>reinsurance pool.</w:t>
      </w:r>
    </w:p>
    <w:p w14:paraId="254D0B0B" w14:textId="44E393A0" w:rsidR="00087513" w:rsidRDefault="00F430F0" w:rsidP="00F430F0">
      <w:pPr>
        <w:pStyle w:val="ContentsBox"/>
        <w:rPr>
          <w:rFonts w:cstheme="minorHAnsi"/>
          <w:sz w:val="20"/>
          <w:szCs w:val="20"/>
        </w:rPr>
        <w:sectPr w:rsidR="00087513" w:rsidSect="00772251">
          <w:headerReference w:type="default" r:id="rId19"/>
          <w:footerReference w:type="default" r:id="rId20"/>
          <w:type w:val="continuous"/>
          <w:pgSz w:w="11906" w:h="16838"/>
          <w:pgMar w:top="2058" w:right="1134" w:bottom="1134" w:left="1134" w:header="709" w:footer="346" w:gutter="0"/>
          <w:cols w:num="2" w:space="708"/>
          <w:docGrid w:linePitch="360"/>
        </w:sectPr>
      </w:pPr>
      <w:r w:rsidRPr="00F430F0">
        <w:rPr>
          <w:rFonts w:cstheme="minorHAnsi"/>
          <w:sz w:val="20"/>
          <w:szCs w:val="20"/>
        </w:rPr>
        <w:t xml:space="preserve">For the reinsurance pool to commence </w:t>
      </w:r>
      <w:r w:rsidR="007837EC">
        <w:rPr>
          <w:rFonts w:cstheme="minorHAnsi"/>
          <w:sz w:val="20"/>
          <w:szCs w:val="20"/>
        </w:rPr>
        <w:t>on</w:t>
      </w:r>
      <w:r w:rsidRPr="00F430F0">
        <w:rPr>
          <w:rFonts w:cstheme="minorHAnsi"/>
          <w:sz w:val="20"/>
          <w:szCs w:val="20"/>
        </w:rPr>
        <w:t xml:space="preserve"> 1 July 2022, the following steps will need to be</w:t>
      </w:r>
      <w:r w:rsidR="00813C2D">
        <w:rPr>
          <w:rFonts w:cstheme="minorHAnsi"/>
          <w:sz w:val="20"/>
          <w:szCs w:val="20"/>
        </w:rPr>
        <w:t xml:space="preserve"> completed:</w:t>
      </w:r>
    </w:p>
    <w:tbl>
      <w:tblPr>
        <w:tblStyle w:val="PlainTable4"/>
        <w:tblpPr w:leftFromText="180" w:rightFromText="180" w:vertAnchor="text" w:horzAnchor="margin" w:tblpY="36"/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87513" w:rsidRPr="00F430F0" w14:paraId="4D12C1F8" w14:textId="77777777" w:rsidTr="00131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shd w:val="clear" w:color="auto" w:fill="FDF4F1"/>
          </w:tcPr>
          <w:p w14:paraId="26D61EDF" w14:textId="77777777" w:rsidR="00087513" w:rsidRPr="006D241C" w:rsidRDefault="00087513" w:rsidP="00131C57">
            <w:pPr>
              <w:pStyle w:val="ContentsBox"/>
              <w:rPr>
                <w:rFonts w:asciiTheme="majorHAnsi" w:hAnsiTheme="majorHAnsi" w:cstheme="majorHAnsi"/>
                <w:sz w:val="20"/>
                <w:szCs w:val="20"/>
              </w:rPr>
            </w:pPr>
            <w:r w:rsidRPr="00F520A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Australian Government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F4F1"/>
          </w:tcPr>
          <w:p w14:paraId="7F6B290D" w14:textId="77777777" w:rsidR="00087513" w:rsidRPr="006D241C" w:rsidRDefault="00087513" w:rsidP="00131C57">
            <w:pPr>
              <w:pStyle w:val="Contents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F520A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ARPC actions</w:t>
            </w:r>
          </w:p>
        </w:tc>
      </w:tr>
      <w:tr w:rsidR="00087513" w:rsidRPr="00F430F0" w14:paraId="3E39137A" w14:textId="77777777" w:rsidTr="0013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F5"/>
          </w:tcPr>
          <w:p w14:paraId="63A836CF" w14:textId="5E33C720" w:rsidR="00087513" w:rsidRPr="00FB13DA" w:rsidRDefault="00087513" w:rsidP="00131C57">
            <w:pPr>
              <w:pStyle w:val="ContentsBox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C6729">
              <w:rPr>
                <w:rFonts w:cstheme="minorHAnsi"/>
                <w:sz w:val="20"/>
                <w:szCs w:val="20"/>
              </w:rPr>
              <w:t>4 May 2021 announcement on proposed new pool with further details provided in the 2021</w:t>
            </w:r>
            <w:r>
              <w:rPr>
                <w:rFonts w:cstheme="minorHAnsi"/>
                <w:sz w:val="20"/>
                <w:szCs w:val="20"/>
              </w:rPr>
              <w:t>-22</w:t>
            </w:r>
            <w:r w:rsidRPr="000C6729">
              <w:rPr>
                <w:rFonts w:cstheme="minorHAnsi"/>
                <w:sz w:val="20"/>
                <w:szCs w:val="20"/>
              </w:rPr>
              <w:t xml:space="preserve"> Federal Budget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F5"/>
          </w:tcPr>
          <w:p w14:paraId="474B9CBC" w14:textId="77777777" w:rsidR="00087513" w:rsidRPr="00F430F0" w:rsidRDefault="00087513" w:rsidP="00131C57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0F0">
              <w:t>ARPC acknowledges the Government policy intent (publishes ARPC media release).</w:t>
            </w:r>
          </w:p>
          <w:p w14:paraId="3AC8A39A" w14:textId="77777777" w:rsidR="00087513" w:rsidRPr="00F430F0" w:rsidRDefault="00087513" w:rsidP="00131C57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0F0">
              <w:t>Provides information to ARPC stakeholders on Government policy intent (this newsletter).</w:t>
            </w:r>
          </w:p>
        </w:tc>
      </w:tr>
      <w:tr w:rsidR="00087513" w:rsidRPr="00F430F0" w14:paraId="4545DF8F" w14:textId="77777777" w:rsidTr="00131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4F1"/>
          </w:tcPr>
          <w:p w14:paraId="2EAD0291" w14:textId="77777777" w:rsidR="00087513" w:rsidRPr="00FB13DA" w:rsidRDefault="00087513" w:rsidP="00131C57">
            <w:pPr>
              <w:pStyle w:val="ContentsBox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C6729">
              <w:rPr>
                <w:rFonts w:cstheme="minorHAnsi"/>
                <w:sz w:val="20"/>
                <w:szCs w:val="20"/>
              </w:rPr>
              <w:t>Treasury-led Taskforce to undertake industry consultation and recommend a final scheme design to Government for consideration. $2.4 million provided to Treasury to fund the Taskforce work.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4F1"/>
          </w:tcPr>
          <w:p w14:paraId="3E4846F3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0F0">
              <w:t xml:space="preserve">ARPC will support Treasury’s work on scheme design and facilitate industry consultation as needed. </w:t>
            </w:r>
          </w:p>
          <w:p w14:paraId="75D69CAF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0F0">
              <w:t>Secondment of some ARPC employees to Treasury.</w:t>
            </w:r>
          </w:p>
        </w:tc>
      </w:tr>
      <w:tr w:rsidR="00087513" w:rsidRPr="00F430F0" w14:paraId="71552FA8" w14:textId="77777777" w:rsidTr="0013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F5"/>
          </w:tcPr>
          <w:p w14:paraId="249E3FB3" w14:textId="77777777" w:rsidR="00087513" w:rsidRPr="00F430F0" w:rsidRDefault="00087513" w:rsidP="00131C57">
            <w:pPr>
              <w:pStyle w:val="ContentsBox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C6729">
              <w:rPr>
                <w:rFonts w:cstheme="minorHAnsi"/>
                <w:sz w:val="20"/>
                <w:szCs w:val="20"/>
              </w:rPr>
              <w:t>Legislative implementation, that is, the normal Parliamentary process for considering and approving new legislation must be completed.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F5"/>
          </w:tcPr>
          <w:p w14:paraId="65FE8C31" w14:textId="77777777" w:rsidR="00087513" w:rsidRPr="00F430F0" w:rsidRDefault="00087513" w:rsidP="00131C57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0F0">
              <w:t>ARPC will support Treasury with technical input to legislation or regulations as required.</w:t>
            </w:r>
          </w:p>
        </w:tc>
      </w:tr>
      <w:tr w:rsidR="00087513" w:rsidRPr="00F430F0" w14:paraId="0F3483B0" w14:textId="77777777" w:rsidTr="00131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4F1"/>
          </w:tcPr>
          <w:p w14:paraId="6C122389" w14:textId="77777777" w:rsidR="00087513" w:rsidRPr="006D241C" w:rsidRDefault="00087513" w:rsidP="00131C57">
            <w:pPr>
              <w:pStyle w:val="ContentsBox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C6729">
              <w:rPr>
                <w:rFonts w:cstheme="minorHAnsi"/>
                <w:sz w:val="20"/>
                <w:szCs w:val="20"/>
              </w:rPr>
              <w:t>Pool implementation following confirmation of the legislation.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4F1"/>
          </w:tcPr>
          <w:p w14:paraId="0EEA2101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0F0">
              <w:t>ARPC recruits additional employees.</w:t>
            </w:r>
          </w:p>
          <w:p w14:paraId="4700DBEF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0F0">
              <w:t>Implementation of ARPC system changes</w:t>
            </w:r>
          </w:p>
          <w:p w14:paraId="07023EFD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ARPC works</w:t>
            </w:r>
            <w:r w:rsidRPr="00F430F0">
              <w:t xml:space="preserve"> with insurers to support their system changes</w:t>
            </w:r>
          </w:p>
          <w:p w14:paraId="7C37173F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0F0">
              <w:t>Operational changes to ARPC on premises and procedures.</w:t>
            </w:r>
          </w:p>
          <w:p w14:paraId="6883B396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0F0">
              <w:t>Confirmation of reinsurance contracts and pool pricing.</w:t>
            </w:r>
          </w:p>
          <w:p w14:paraId="1F8D6A52" w14:textId="77777777" w:rsidR="00087513" w:rsidRPr="00F430F0" w:rsidRDefault="00087513" w:rsidP="00131C57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0F0">
              <w:t>Communication of detail of new pool design to insurers.</w:t>
            </w:r>
          </w:p>
        </w:tc>
      </w:tr>
      <w:tr w:rsidR="00087513" w:rsidRPr="00F430F0" w14:paraId="72352296" w14:textId="77777777" w:rsidTr="0013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F5"/>
          </w:tcPr>
          <w:p w14:paraId="6CACBDBE" w14:textId="77777777" w:rsidR="00087513" w:rsidRPr="006D241C" w:rsidRDefault="00087513" w:rsidP="00131C57">
            <w:pPr>
              <w:pStyle w:val="ContentsBox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C6729">
              <w:rPr>
                <w:rFonts w:cstheme="minorHAnsi"/>
                <w:sz w:val="20"/>
                <w:szCs w:val="20"/>
              </w:rPr>
              <w:t>Commencement of the new pool, including coverage, intended from 1 July 2022.</w:t>
            </w:r>
          </w:p>
          <w:p w14:paraId="39F814D0" w14:textId="77777777" w:rsidR="00087513" w:rsidRPr="00F430F0" w:rsidRDefault="00087513" w:rsidP="00131C57">
            <w:pPr>
              <w:pStyle w:val="ContentsBox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F5"/>
          </w:tcPr>
          <w:p w14:paraId="7D4353E3" w14:textId="77777777" w:rsidR="00087513" w:rsidRPr="00F430F0" w:rsidRDefault="00087513" w:rsidP="00131C57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0F0">
              <w:t>Commence writing new business.</w:t>
            </w:r>
          </w:p>
          <w:p w14:paraId="1AF633FD" w14:textId="77777777" w:rsidR="00087513" w:rsidRPr="00F430F0" w:rsidRDefault="00087513" w:rsidP="00131C57">
            <w:pPr>
              <w:pStyle w:val="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0F0">
              <w:t>Communication on progress on onboarding insurers.</w:t>
            </w:r>
          </w:p>
        </w:tc>
      </w:tr>
    </w:tbl>
    <w:p w14:paraId="125D40F6" w14:textId="77777777" w:rsidR="00EC4AD6" w:rsidRDefault="00EC4AD6">
      <w:pPr>
        <w:pStyle w:val="ContentsBox"/>
        <w:rPr>
          <w:sz w:val="20"/>
          <w:szCs w:val="24"/>
        </w:rPr>
      </w:pPr>
    </w:p>
    <w:p w14:paraId="7C7D82EA" w14:textId="45DEE0A7" w:rsidR="00F430F0" w:rsidRPr="006D241C" w:rsidRDefault="00773522">
      <w:pPr>
        <w:pStyle w:val="ContentsBox"/>
        <w:rPr>
          <w:sz w:val="20"/>
          <w:szCs w:val="24"/>
        </w:rPr>
      </w:pPr>
      <w:r w:rsidRPr="006D241C">
        <w:rPr>
          <w:sz w:val="20"/>
          <w:szCs w:val="24"/>
        </w:rPr>
        <w:t xml:space="preserve">More </w:t>
      </w:r>
      <w:r w:rsidR="00F430F0" w:rsidRPr="006D241C">
        <w:rPr>
          <w:sz w:val="20"/>
          <w:szCs w:val="24"/>
        </w:rPr>
        <w:t>detail about how the scheme will operate will emerge in the coming months as the Treasury</w:t>
      </w:r>
      <w:r w:rsidR="00C21541">
        <w:rPr>
          <w:sz w:val="20"/>
          <w:szCs w:val="24"/>
        </w:rPr>
        <w:t>-led</w:t>
      </w:r>
      <w:r w:rsidR="00F430F0" w:rsidRPr="006D241C">
        <w:rPr>
          <w:sz w:val="20"/>
          <w:szCs w:val="24"/>
        </w:rPr>
        <w:t xml:space="preserve"> Taskforce gets underway.</w:t>
      </w:r>
    </w:p>
    <w:p w14:paraId="133D516E" w14:textId="1CC99789" w:rsidR="008D12CA" w:rsidRDefault="006D241C" w:rsidP="006D241C">
      <w:pPr>
        <w:pStyle w:val="HeadingOne"/>
      </w:pPr>
      <w:r w:rsidRPr="00D51192">
        <w:rPr>
          <w:rFonts w:cstheme="minorHAnsi"/>
          <w:noProof/>
          <w:color w:val="424242"/>
        </w:rPr>
        <w:drawing>
          <wp:anchor distT="0" distB="0" distL="114300" distR="114300" simplePos="0" relativeHeight="251658244" behindDoc="1" locked="0" layoutInCell="1" allowOverlap="1" wp14:anchorId="31C80AB5" wp14:editId="1D2DD89D">
            <wp:simplePos x="0" y="0"/>
            <wp:positionH relativeFrom="margin">
              <wp:posOffset>69760</wp:posOffset>
            </wp:positionH>
            <wp:positionV relativeFrom="paragraph">
              <wp:posOffset>197304</wp:posOffset>
            </wp:positionV>
            <wp:extent cx="1436400" cy="1436400"/>
            <wp:effectExtent l="0" t="0" r="0" b="0"/>
            <wp:wrapThrough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hrough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4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5F" w:rsidRPr="006D241C">
        <w:t>Questions</w:t>
      </w:r>
    </w:p>
    <w:p w14:paraId="7CC722C1" w14:textId="77777777" w:rsidR="006D241C" w:rsidRPr="006D241C" w:rsidRDefault="006D241C" w:rsidP="006D241C">
      <w:pPr>
        <w:pStyle w:val="HeadingOne"/>
      </w:pPr>
    </w:p>
    <w:p w14:paraId="5A9396DB" w14:textId="4EBA8AB9" w:rsidR="00F430F0" w:rsidRPr="00F430F0" w:rsidRDefault="00F430F0" w:rsidP="00F430F0">
      <w:pPr>
        <w:pStyle w:val="ContentsBox"/>
        <w:rPr>
          <w:rFonts w:asciiTheme="minorHAnsi" w:hAnsiTheme="minorHAnsi" w:cstheme="minorHAnsi"/>
          <w:color w:val="auto"/>
          <w:sz w:val="20"/>
          <w:szCs w:val="20"/>
        </w:rPr>
      </w:pPr>
      <w:r w:rsidRPr="00F430F0">
        <w:rPr>
          <w:rFonts w:asciiTheme="minorHAnsi" w:hAnsiTheme="minorHAnsi" w:cstheme="minorHAnsi"/>
          <w:color w:val="auto"/>
          <w:sz w:val="20"/>
          <w:szCs w:val="20"/>
        </w:rPr>
        <w:t xml:space="preserve">ARPC can forward stakeholder questions to the Treasury-led Taskforce. </w:t>
      </w:r>
    </w:p>
    <w:p w14:paraId="5B00D6C2" w14:textId="192F050A" w:rsidR="00440090" w:rsidRPr="004A1E45" w:rsidRDefault="002C47F9" w:rsidP="008D12CA">
      <w:pPr>
        <w:pStyle w:val="ContentsBox"/>
        <w:rPr>
          <w:rFonts w:asciiTheme="minorHAnsi" w:hAnsiTheme="minorHAnsi" w:cstheme="minorHAnsi"/>
          <w:color w:val="auto"/>
          <w:sz w:val="20"/>
          <w:szCs w:val="20"/>
        </w:rPr>
      </w:pPr>
      <w:r w:rsidRPr="00813C2D">
        <w:rPr>
          <w:rFonts w:asciiTheme="minorHAnsi" w:hAnsiTheme="minorHAnsi" w:cstheme="minorHAnsi"/>
          <w:color w:val="auto"/>
          <w:sz w:val="20"/>
          <w:szCs w:val="20"/>
        </w:rPr>
        <w:t>Email questions to:</w:t>
      </w: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hyperlink r:id="rId22" w:history="1">
        <w:r w:rsidRPr="00813C2D">
          <w:rPr>
            <w:rStyle w:val="Hyperlink"/>
            <w:rFonts w:asciiTheme="minorHAnsi" w:hAnsiTheme="minorHAnsi" w:cstheme="minorHAnsi"/>
            <w:color w:val="141313" w:themeColor="text1"/>
            <w:sz w:val="20"/>
            <w:szCs w:val="20"/>
          </w:rPr>
          <w:t>enquiries@arpc.gov.au</w:t>
        </w:r>
      </w:hyperlink>
      <w:r w:rsidRPr="00813C2D">
        <w:rPr>
          <w:rFonts w:asciiTheme="minorHAnsi" w:hAnsiTheme="minorHAnsi" w:cstheme="minorHAnsi"/>
          <w:color w:val="141313" w:themeColor="text1"/>
          <w:sz w:val="20"/>
          <w:szCs w:val="20"/>
          <w:u w:val="single"/>
        </w:rPr>
        <w:t xml:space="preserve"> </w:t>
      </w:r>
    </w:p>
    <w:p w14:paraId="52F016CC" w14:textId="457C40DA" w:rsidR="008D12CA" w:rsidRPr="002D7879" w:rsidRDefault="008D12CA" w:rsidP="008D12CA">
      <w:pPr>
        <w:pStyle w:val="ContentsBox"/>
        <w:rPr>
          <w:rFonts w:asciiTheme="minorHAnsi" w:hAnsiTheme="minorHAnsi" w:cstheme="minorHAnsi"/>
          <w:sz w:val="20"/>
          <w:szCs w:val="20"/>
        </w:rPr>
      </w:pPr>
    </w:p>
    <w:p w14:paraId="7F9E5D81" w14:textId="5C29CF57" w:rsidR="00CA4A0D" w:rsidRPr="008D12CA" w:rsidRDefault="00CA4A0D" w:rsidP="008D12CA">
      <w:pPr>
        <w:spacing w:after="200" w:line="276" w:lineRule="auto"/>
        <w:rPr>
          <w:rFonts w:ascii="Calibri Light" w:hAnsi="Calibri Light" w:cs="Times New Roman (Body CS)"/>
          <w:color w:val="000000"/>
          <w:sz w:val="20"/>
          <w:szCs w:val="20"/>
        </w:rPr>
      </w:pPr>
    </w:p>
    <w:sectPr w:rsidR="00CA4A0D" w:rsidRPr="008D12CA" w:rsidSect="00813C2D">
      <w:type w:val="continuous"/>
      <w:pgSz w:w="11906" w:h="16838"/>
      <w:pgMar w:top="2058" w:right="1134" w:bottom="1134" w:left="1134" w:header="709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04FE" w14:textId="77777777" w:rsidR="003A3CEC" w:rsidRDefault="003A3CEC" w:rsidP="00DF4E9A">
      <w:pPr>
        <w:spacing w:after="0"/>
      </w:pPr>
      <w:r>
        <w:separator/>
      </w:r>
    </w:p>
  </w:endnote>
  <w:endnote w:type="continuationSeparator" w:id="0">
    <w:p w14:paraId="4DA3565C" w14:textId="77777777" w:rsidR="003A3CEC" w:rsidRDefault="003A3CEC" w:rsidP="00DF4E9A">
      <w:pPr>
        <w:spacing w:after="0"/>
      </w:pPr>
      <w:r>
        <w:continuationSeparator/>
      </w:r>
    </w:p>
  </w:endnote>
  <w:endnote w:type="continuationNotice" w:id="1">
    <w:p w14:paraId="1BD84E5A" w14:textId="77777777" w:rsidR="003A3CEC" w:rsidRDefault="003A3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076A" w14:textId="77777777" w:rsidR="008C5239" w:rsidRDefault="008C5239" w:rsidP="00642ED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9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65D26" w14:textId="77777777" w:rsidR="008C5239" w:rsidRDefault="008C5239" w:rsidP="003F3B8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2DBC" w14:textId="77777777" w:rsidR="008C5239" w:rsidRDefault="008C52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F145" w14:textId="77777777" w:rsidR="003A3CEC" w:rsidRDefault="003A3CEC" w:rsidP="00DF4E9A">
      <w:pPr>
        <w:spacing w:after="0"/>
      </w:pPr>
      <w:r>
        <w:separator/>
      </w:r>
    </w:p>
  </w:footnote>
  <w:footnote w:type="continuationSeparator" w:id="0">
    <w:p w14:paraId="0564E8EA" w14:textId="77777777" w:rsidR="003A3CEC" w:rsidRDefault="003A3CEC" w:rsidP="00DF4E9A">
      <w:pPr>
        <w:spacing w:after="0"/>
      </w:pPr>
      <w:r>
        <w:continuationSeparator/>
      </w:r>
    </w:p>
  </w:footnote>
  <w:footnote w:type="continuationNotice" w:id="1">
    <w:p w14:paraId="67921184" w14:textId="77777777" w:rsidR="003A3CEC" w:rsidRDefault="003A3C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9737" w14:textId="77777777" w:rsidR="00065B2E" w:rsidRDefault="00DF3DE0">
    <w:r>
      <w:rPr>
        <w:noProof/>
      </w:rPr>
      <w:drawing>
        <wp:anchor distT="0" distB="0" distL="114300" distR="114300" simplePos="0" relativeHeight="251658241" behindDoc="1" locked="0" layoutInCell="1" allowOverlap="1" wp14:anchorId="0E7A0F55" wp14:editId="7BAAF2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0400" cy="10692000"/>
          <wp:effectExtent l="0" t="0" r="0" b="1905"/>
          <wp:wrapNone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A4F0" w14:textId="77777777" w:rsidR="008C5239" w:rsidRDefault="00FA1D40" w:rsidP="00FA1D40">
    <w:pPr>
      <w:tabs>
        <w:tab w:val="left" w:pos="11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8717A" wp14:editId="7296363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1123200"/>
          <wp:effectExtent l="0" t="0" r="317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TC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508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B8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5680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3DAC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F26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99ED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2C6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D28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669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E4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AAA9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9684D"/>
    <w:multiLevelType w:val="hybridMultilevel"/>
    <w:tmpl w:val="467EB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15426"/>
    <w:multiLevelType w:val="multilevel"/>
    <w:tmpl w:val="75D03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3B2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3F4387C"/>
    <w:multiLevelType w:val="multilevel"/>
    <w:tmpl w:val="19704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1FB4D0D"/>
    <w:multiLevelType w:val="hybridMultilevel"/>
    <w:tmpl w:val="5466675A"/>
    <w:lvl w:ilvl="0" w:tplc="6A4EB5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3D2A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2A256BA"/>
    <w:multiLevelType w:val="hybridMultilevel"/>
    <w:tmpl w:val="BF1E8A94"/>
    <w:lvl w:ilvl="0" w:tplc="91C6E6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970F5"/>
    <w:multiLevelType w:val="multilevel"/>
    <w:tmpl w:val="5466675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3D2A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945171"/>
    <w:multiLevelType w:val="hybridMultilevel"/>
    <w:tmpl w:val="5FA8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4302"/>
    <w:multiLevelType w:val="hybridMultilevel"/>
    <w:tmpl w:val="E1C6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85C9B"/>
    <w:multiLevelType w:val="hybridMultilevel"/>
    <w:tmpl w:val="32DC6B52"/>
    <w:lvl w:ilvl="0" w:tplc="BFF0D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2A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D1060B"/>
    <w:multiLevelType w:val="hybridMultilevel"/>
    <w:tmpl w:val="285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73534"/>
    <w:multiLevelType w:val="hybridMultilevel"/>
    <w:tmpl w:val="4146778E"/>
    <w:lvl w:ilvl="0" w:tplc="2828F6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B3B2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6DE3B75"/>
    <w:multiLevelType w:val="hybridMultilevel"/>
    <w:tmpl w:val="D5687080"/>
    <w:lvl w:ilvl="0" w:tplc="ADE4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989361C"/>
    <w:multiLevelType w:val="hybridMultilevel"/>
    <w:tmpl w:val="27AE9F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4" w15:restartNumberingAfterBreak="0">
    <w:nsid w:val="59C06CA1"/>
    <w:multiLevelType w:val="hybridMultilevel"/>
    <w:tmpl w:val="3F32C952"/>
    <w:lvl w:ilvl="0" w:tplc="708408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01AD7"/>
    <w:multiLevelType w:val="multilevel"/>
    <w:tmpl w:val="32DC6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2A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1634BFE"/>
    <w:multiLevelType w:val="hybridMultilevel"/>
    <w:tmpl w:val="52481E2E"/>
    <w:lvl w:ilvl="0" w:tplc="FF146488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BB3B2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25F222F"/>
    <w:multiLevelType w:val="hybridMultilevel"/>
    <w:tmpl w:val="4290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D23E4"/>
    <w:multiLevelType w:val="multilevel"/>
    <w:tmpl w:val="27AE9F9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9" w15:restartNumberingAfterBreak="0">
    <w:nsid w:val="661631BF"/>
    <w:multiLevelType w:val="hybridMultilevel"/>
    <w:tmpl w:val="E5CA2FE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2"/>
  </w:num>
  <w:num w:numId="7">
    <w:abstractNumId w:val="23"/>
  </w:num>
  <w:num w:numId="8">
    <w:abstractNumId w:val="13"/>
  </w:num>
  <w:num w:numId="9">
    <w:abstractNumId w:val="19"/>
  </w:num>
  <w:num w:numId="10">
    <w:abstractNumId w:val="28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6"/>
  </w:num>
  <w:num w:numId="20">
    <w:abstractNumId w:val="16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5"/>
  </w:num>
  <w:num w:numId="26">
    <w:abstractNumId w:val="29"/>
  </w:num>
  <w:num w:numId="27">
    <w:abstractNumId w:val="24"/>
  </w:num>
  <w:num w:numId="28">
    <w:abstractNumId w:val="18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CA"/>
    <w:rsid w:val="00010B4A"/>
    <w:rsid w:val="0001502D"/>
    <w:rsid w:val="00027F6B"/>
    <w:rsid w:val="00032C1F"/>
    <w:rsid w:val="00033A86"/>
    <w:rsid w:val="0003669E"/>
    <w:rsid w:val="00042B8C"/>
    <w:rsid w:val="0004355A"/>
    <w:rsid w:val="00047197"/>
    <w:rsid w:val="00053601"/>
    <w:rsid w:val="00061E74"/>
    <w:rsid w:val="00065B2E"/>
    <w:rsid w:val="00066861"/>
    <w:rsid w:val="00070E5F"/>
    <w:rsid w:val="00076223"/>
    <w:rsid w:val="000811FD"/>
    <w:rsid w:val="0008172C"/>
    <w:rsid w:val="00081C16"/>
    <w:rsid w:val="00085C6D"/>
    <w:rsid w:val="00087513"/>
    <w:rsid w:val="00087C2C"/>
    <w:rsid w:val="000905FA"/>
    <w:rsid w:val="0009389E"/>
    <w:rsid w:val="00097D09"/>
    <w:rsid w:val="000A361B"/>
    <w:rsid w:val="000B751D"/>
    <w:rsid w:val="000C0CB0"/>
    <w:rsid w:val="000C64AA"/>
    <w:rsid w:val="000C6729"/>
    <w:rsid w:val="000D4B9A"/>
    <w:rsid w:val="000D65C5"/>
    <w:rsid w:val="000E0EA0"/>
    <w:rsid w:val="000E10AB"/>
    <w:rsid w:val="000E1B7F"/>
    <w:rsid w:val="000E6E5A"/>
    <w:rsid w:val="000F5CA0"/>
    <w:rsid w:val="00100B21"/>
    <w:rsid w:val="00115AEE"/>
    <w:rsid w:val="00117B98"/>
    <w:rsid w:val="00122090"/>
    <w:rsid w:val="00122616"/>
    <w:rsid w:val="0012457B"/>
    <w:rsid w:val="0013227D"/>
    <w:rsid w:val="001326A1"/>
    <w:rsid w:val="001451BB"/>
    <w:rsid w:val="00150292"/>
    <w:rsid w:val="00150D87"/>
    <w:rsid w:val="0015224F"/>
    <w:rsid w:val="00156DAF"/>
    <w:rsid w:val="00161550"/>
    <w:rsid w:val="0016246A"/>
    <w:rsid w:val="001625BE"/>
    <w:rsid w:val="00164689"/>
    <w:rsid w:val="00174BEB"/>
    <w:rsid w:val="0017629C"/>
    <w:rsid w:val="00193C18"/>
    <w:rsid w:val="001944DE"/>
    <w:rsid w:val="001A0D72"/>
    <w:rsid w:val="001B72E5"/>
    <w:rsid w:val="001C2CE8"/>
    <w:rsid w:val="001C582C"/>
    <w:rsid w:val="001D2A6C"/>
    <w:rsid w:val="001D2A91"/>
    <w:rsid w:val="001D3490"/>
    <w:rsid w:val="001D39BE"/>
    <w:rsid w:val="001D5250"/>
    <w:rsid w:val="001E620D"/>
    <w:rsid w:val="001F4F32"/>
    <w:rsid w:val="001F5792"/>
    <w:rsid w:val="001F6E20"/>
    <w:rsid w:val="00203B37"/>
    <w:rsid w:val="00212B76"/>
    <w:rsid w:val="00220A44"/>
    <w:rsid w:val="00227C82"/>
    <w:rsid w:val="00230C8B"/>
    <w:rsid w:val="00233630"/>
    <w:rsid w:val="002547CD"/>
    <w:rsid w:val="00255D7C"/>
    <w:rsid w:val="00256ACC"/>
    <w:rsid w:val="00257C7D"/>
    <w:rsid w:val="00273F89"/>
    <w:rsid w:val="0028538D"/>
    <w:rsid w:val="00293842"/>
    <w:rsid w:val="00294147"/>
    <w:rsid w:val="002A0139"/>
    <w:rsid w:val="002A2915"/>
    <w:rsid w:val="002A4CEB"/>
    <w:rsid w:val="002A659B"/>
    <w:rsid w:val="002B2BE8"/>
    <w:rsid w:val="002C47F9"/>
    <w:rsid w:val="002D7879"/>
    <w:rsid w:val="002F1A7B"/>
    <w:rsid w:val="002F40DC"/>
    <w:rsid w:val="00302A7D"/>
    <w:rsid w:val="00306314"/>
    <w:rsid w:val="00311825"/>
    <w:rsid w:val="0031401D"/>
    <w:rsid w:val="003200F3"/>
    <w:rsid w:val="00321973"/>
    <w:rsid w:val="003219ED"/>
    <w:rsid w:val="003255AF"/>
    <w:rsid w:val="00326995"/>
    <w:rsid w:val="00336CA9"/>
    <w:rsid w:val="00341C7F"/>
    <w:rsid w:val="00342923"/>
    <w:rsid w:val="003443B7"/>
    <w:rsid w:val="00346465"/>
    <w:rsid w:val="00352711"/>
    <w:rsid w:val="00367324"/>
    <w:rsid w:val="00367EA2"/>
    <w:rsid w:val="00386126"/>
    <w:rsid w:val="0039035A"/>
    <w:rsid w:val="00396428"/>
    <w:rsid w:val="00396827"/>
    <w:rsid w:val="003A3CEC"/>
    <w:rsid w:val="003D60D1"/>
    <w:rsid w:val="003E229E"/>
    <w:rsid w:val="003E6DE8"/>
    <w:rsid w:val="003F2E34"/>
    <w:rsid w:val="003F3B89"/>
    <w:rsid w:val="003F5170"/>
    <w:rsid w:val="003F78A8"/>
    <w:rsid w:val="004115EE"/>
    <w:rsid w:val="0041381D"/>
    <w:rsid w:val="00414A0F"/>
    <w:rsid w:val="004155BC"/>
    <w:rsid w:val="00422933"/>
    <w:rsid w:val="00422AA0"/>
    <w:rsid w:val="00423D8C"/>
    <w:rsid w:val="00430B84"/>
    <w:rsid w:val="00433078"/>
    <w:rsid w:val="00435378"/>
    <w:rsid w:val="004361FD"/>
    <w:rsid w:val="0043743F"/>
    <w:rsid w:val="00440090"/>
    <w:rsid w:val="00446EC6"/>
    <w:rsid w:val="00450A0C"/>
    <w:rsid w:val="00450E8F"/>
    <w:rsid w:val="00465871"/>
    <w:rsid w:val="00485A1F"/>
    <w:rsid w:val="00487CD9"/>
    <w:rsid w:val="00491DD9"/>
    <w:rsid w:val="004943EA"/>
    <w:rsid w:val="004947DF"/>
    <w:rsid w:val="004A1E45"/>
    <w:rsid w:val="004A5CF0"/>
    <w:rsid w:val="004B2352"/>
    <w:rsid w:val="004C38B6"/>
    <w:rsid w:val="004E6F99"/>
    <w:rsid w:val="004F24F2"/>
    <w:rsid w:val="004F6E98"/>
    <w:rsid w:val="00517282"/>
    <w:rsid w:val="00517366"/>
    <w:rsid w:val="00526382"/>
    <w:rsid w:val="00527DEA"/>
    <w:rsid w:val="00534043"/>
    <w:rsid w:val="00534BDE"/>
    <w:rsid w:val="00541B1D"/>
    <w:rsid w:val="00546957"/>
    <w:rsid w:val="00551063"/>
    <w:rsid w:val="00555B6F"/>
    <w:rsid w:val="00555C81"/>
    <w:rsid w:val="00562E9B"/>
    <w:rsid w:val="00563CB8"/>
    <w:rsid w:val="00564F95"/>
    <w:rsid w:val="00565DAF"/>
    <w:rsid w:val="00565F90"/>
    <w:rsid w:val="0056749E"/>
    <w:rsid w:val="0057570C"/>
    <w:rsid w:val="00577924"/>
    <w:rsid w:val="00582D81"/>
    <w:rsid w:val="00592D03"/>
    <w:rsid w:val="005951F4"/>
    <w:rsid w:val="0059656B"/>
    <w:rsid w:val="005A0575"/>
    <w:rsid w:val="005A11BC"/>
    <w:rsid w:val="005A207D"/>
    <w:rsid w:val="005A2A76"/>
    <w:rsid w:val="005B1BD7"/>
    <w:rsid w:val="005C0E28"/>
    <w:rsid w:val="005D055B"/>
    <w:rsid w:val="005D2920"/>
    <w:rsid w:val="005E3718"/>
    <w:rsid w:val="005F2D0B"/>
    <w:rsid w:val="005F6801"/>
    <w:rsid w:val="00600996"/>
    <w:rsid w:val="00603A07"/>
    <w:rsid w:val="00611F5D"/>
    <w:rsid w:val="00612EFD"/>
    <w:rsid w:val="00614DE4"/>
    <w:rsid w:val="00627F4D"/>
    <w:rsid w:val="00642ED0"/>
    <w:rsid w:val="00651435"/>
    <w:rsid w:val="00652C54"/>
    <w:rsid w:val="00653E73"/>
    <w:rsid w:val="00654991"/>
    <w:rsid w:val="00662F32"/>
    <w:rsid w:val="00671B35"/>
    <w:rsid w:val="006724E7"/>
    <w:rsid w:val="00673A4D"/>
    <w:rsid w:val="0068370F"/>
    <w:rsid w:val="00684156"/>
    <w:rsid w:val="00684C97"/>
    <w:rsid w:val="00692429"/>
    <w:rsid w:val="00694E4C"/>
    <w:rsid w:val="006A175C"/>
    <w:rsid w:val="006A2613"/>
    <w:rsid w:val="006A393F"/>
    <w:rsid w:val="006A5076"/>
    <w:rsid w:val="006C0E16"/>
    <w:rsid w:val="006C2F08"/>
    <w:rsid w:val="006D241C"/>
    <w:rsid w:val="006D7988"/>
    <w:rsid w:val="006F0AC8"/>
    <w:rsid w:val="006F2A7E"/>
    <w:rsid w:val="007018EA"/>
    <w:rsid w:val="0070272D"/>
    <w:rsid w:val="00703E0A"/>
    <w:rsid w:val="0070699F"/>
    <w:rsid w:val="007112BA"/>
    <w:rsid w:val="0072253B"/>
    <w:rsid w:val="00730F60"/>
    <w:rsid w:val="007322B3"/>
    <w:rsid w:val="0074345E"/>
    <w:rsid w:val="00744B6A"/>
    <w:rsid w:val="0074533A"/>
    <w:rsid w:val="00750702"/>
    <w:rsid w:val="007515CA"/>
    <w:rsid w:val="007707DF"/>
    <w:rsid w:val="00772251"/>
    <w:rsid w:val="00773522"/>
    <w:rsid w:val="0078089E"/>
    <w:rsid w:val="00781931"/>
    <w:rsid w:val="007837EC"/>
    <w:rsid w:val="007924A6"/>
    <w:rsid w:val="00796488"/>
    <w:rsid w:val="00796FE6"/>
    <w:rsid w:val="007A5FF4"/>
    <w:rsid w:val="007B2BF8"/>
    <w:rsid w:val="007B3C2E"/>
    <w:rsid w:val="007B5753"/>
    <w:rsid w:val="007C2222"/>
    <w:rsid w:val="007D5D29"/>
    <w:rsid w:val="007D6FD1"/>
    <w:rsid w:val="007E18B9"/>
    <w:rsid w:val="007E4262"/>
    <w:rsid w:val="007E4661"/>
    <w:rsid w:val="007F21CC"/>
    <w:rsid w:val="007F7070"/>
    <w:rsid w:val="008033AC"/>
    <w:rsid w:val="00813C2D"/>
    <w:rsid w:val="00816709"/>
    <w:rsid w:val="00821419"/>
    <w:rsid w:val="008237FA"/>
    <w:rsid w:val="008264F6"/>
    <w:rsid w:val="00836B78"/>
    <w:rsid w:val="00847B8C"/>
    <w:rsid w:val="00860418"/>
    <w:rsid w:val="00864A06"/>
    <w:rsid w:val="00864CF8"/>
    <w:rsid w:val="00880402"/>
    <w:rsid w:val="00890C58"/>
    <w:rsid w:val="00895849"/>
    <w:rsid w:val="00897872"/>
    <w:rsid w:val="008A671D"/>
    <w:rsid w:val="008C24FF"/>
    <w:rsid w:val="008C5239"/>
    <w:rsid w:val="008D0077"/>
    <w:rsid w:val="008D12CA"/>
    <w:rsid w:val="008D3BA3"/>
    <w:rsid w:val="008D4E77"/>
    <w:rsid w:val="008D7BF5"/>
    <w:rsid w:val="008E34F0"/>
    <w:rsid w:val="008F369A"/>
    <w:rsid w:val="008F6B34"/>
    <w:rsid w:val="0090137A"/>
    <w:rsid w:val="00906F7E"/>
    <w:rsid w:val="0092626A"/>
    <w:rsid w:val="00930A2C"/>
    <w:rsid w:val="0093168D"/>
    <w:rsid w:val="00932CF6"/>
    <w:rsid w:val="00933D5E"/>
    <w:rsid w:val="00945801"/>
    <w:rsid w:val="0094667B"/>
    <w:rsid w:val="0095036E"/>
    <w:rsid w:val="009503CD"/>
    <w:rsid w:val="009524A6"/>
    <w:rsid w:val="00972660"/>
    <w:rsid w:val="00974A44"/>
    <w:rsid w:val="00975139"/>
    <w:rsid w:val="00976DDF"/>
    <w:rsid w:val="00981566"/>
    <w:rsid w:val="0098223C"/>
    <w:rsid w:val="009838C3"/>
    <w:rsid w:val="00983AC6"/>
    <w:rsid w:val="009877A1"/>
    <w:rsid w:val="009A54F6"/>
    <w:rsid w:val="009B0D25"/>
    <w:rsid w:val="009C0A5F"/>
    <w:rsid w:val="009C2186"/>
    <w:rsid w:val="009C49AE"/>
    <w:rsid w:val="009D3621"/>
    <w:rsid w:val="009D3777"/>
    <w:rsid w:val="009D5393"/>
    <w:rsid w:val="009E31C3"/>
    <w:rsid w:val="009E5909"/>
    <w:rsid w:val="009F4208"/>
    <w:rsid w:val="00A008EF"/>
    <w:rsid w:val="00A0403B"/>
    <w:rsid w:val="00A06149"/>
    <w:rsid w:val="00A15836"/>
    <w:rsid w:val="00A16759"/>
    <w:rsid w:val="00A3110F"/>
    <w:rsid w:val="00A31B12"/>
    <w:rsid w:val="00A31B7C"/>
    <w:rsid w:val="00A37596"/>
    <w:rsid w:val="00A407EC"/>
    <w:rsid w:val="00A5168D"/>
    <w:rsid w:val="00A518C0"/>
    <w:rsid w:val="00A529A2"/>
    <w:rsid w:val="00A53E56"/>
    <w:rsid w:val="00A5501F"/>
    <w:rsid w:val="00A56DE9"/>
    <w:rsid w:val="00A56E0E"/>
    <w:rsid w:val="00A637A3"/>
    <w:rsid w:val="00A6461F"/>
    <w:rsid w:val="00A70019"/>
    <w:rsid w:val="00A7763C"/>
    <w:rsid w:val="00A80883"/>
    <w:rsid w:val="00A81839"/>
    <w:rsid w:val="00A906BB"/>
    <w:rsid w:val="00A90AC0"/>
    <w:rsid w:val="00A969C6"/>
    <w:rsid w:val="00AC1F18"/>
    <w:rsid w:val="00AD1822"/>
    <w:rsid w:val="00AD184B"/>
    <w:rsid w:val="00AF501D"/>
    <w:rsid w:val="00B10AA1"/>
    <w:rsid w:val="00B11229"/>
    <w:rsid w:val="00B2041E"/>
    <w:rsid w:val="00B232DC"/>
    <w:rsid w:val="00B24847"/>
    <w:rsid w:val="00B274E1"/>
    <w:rsid w:val="00B33709"/>
    <w:rsid w:val="00B41742"/>
    <w:rsid w:val="00B437C7"/>
    <w:rsid w:val="00B44888"/>
    <w:rsid w:val="00B50F24"/>
    <w:rsid w:val="00B567E6"/>
    <w:rsid w:val="00B602B2"/>
    <w:rsid w:val="00B64473"/>
    <w:rsid w:val="00B71BB8"/>
    <w:rsid w:val="00B7379E"/>
    <w:rsid w:val="00B73AE9"/>
    <w:rsid w:val="00B74ECD"/>
    <w:rsid w:val="00B76572"/>
    <w:rsid w:val="00B82EA5"/>
    <w:rsid w:val="00B83DBE"/>
    <w:rsid w:val="00B861E8"/>
    <w:rsid w:val="00B97B14"/>
    <w:rsid w:val="00BA204F"/>
    <w:rsid w:val="00BA50F7"/>
    <w:rsid w:val="00BC18AE"/>
    <w:rsid w:val="00BC1C1C"/>
    <w:rsid w:val="00BF06A8"/>
    <w:rsid w:val="00BF3F57"/>
    <w:rsid w:val="00BF4381"/>
    <w:rsid w:val="00BF6C9C"/>
    <w:rsid w:val="00C12CAD"/>
    <w:rsid w:val="00C2092C"/>
    <w:rsid w:val="00C21541"/>
    <w:rsid w:val="00C23339"/>
    <w:rsid w:val="00C30577"/>
    <w:rsid w:val="00C35522"/>
    <w:rsid w:val="00C36BAB"/>
    <w:rsid w:val="00C40EDC"/>
    <w:rsid w:val="00C448FD"/>
    <w:rsid w:val="00C479E0"/>
    <w:rsid w:val="00C568E0"/>
    <w:rsid w:val="00C654A5"/>
    <w:rsid w:val="00C65CE2"/>
    <w:rsid w:val="00C73260"/>
    <w:rsid w:val="00C74305"/>
    <w:rsid w:val="00C8598D"/>
    <w:rsid w:val="00C964B9"/>
    <w:rsid w:val="00CA4A0D"/>
    <w:rsid w:val="00CA67F8"/>
    <w:rsid w:val="00CB7D5E"/>
    <w:rsid w:val="00CD694A"/>
    <w:rsid w:val="00CD7CF7"/>
    <w:rsid w:val="00CE02B9"/>
    <w:rsid w:val="00CE11F5"/>
    <w:rsid w:val="00CE14FD"/>
    <w:rsid w:val="00CE2FC6"/>
    <w:rsid w:val="00CE37DB"/>
    <w:rsid w:val="00CE4722"/>
    <w:rsid w:val="00CF2322"/>
    <w:rsid w:val="00CF3979"/>
    <w:rsid w:val="00CF3F12"/>
    <w:rsid w:val="00CF4250"/>
    <w:rsid w:val="00D03AE9"/>
    <w:rsid w:val="00D05379"/>
    <w:rsid w:val="00D16184"/>
    <w:rsid w:val="00D279AB"/>
    <w:rsid w:val="00D27C81"/>
    <w:rsid w:val="00D30098"/>
    <w:rsid w:val="00D35537"/>
    <w:rsid w:val="00D47DC0"/>
    <w:rsid w:val="00D51192"/>
    <w:rsid w:val="00D52D0A"/>
    <w:rsid w:val="00D55BF6"/>
    <w:rsid w:val="00D55D3B"/>
    <w:rsid w:val="00D57EA3"/>
    <w:rsid w:val="00D63C4C"/>
    <w:rsid w:val="00D679B4"/>
    <w:rsid w:val="00D70067"/>
    <w:rsid w:val="00D7414B"/>
    <w:rsid w:val="00D80FDB"/>
    <w:rsid w:val="00D85B69"/>
    <w:rsid w:val="00D90D4C"/>
    <w:rsid w:val="00D93EC6"/>
    <w:rsid w:val="00DB0B1A"/>
    <w:rsid w:val="00DC3EAC"/>
    <w:rsid w:val="00DD5197"/>
    <w:rsid w:val="00DD599D"/>
    <w:rsid w:val="00DE1A1E"/>
    <w:rsid w:val="00DE5234"/>
    <w:rsid w:val="00DF347A"/>
    <w:rsid w:val="00DF3DE0"/>
    <w:rsid w:val="00DF4E9A"/>
    <w:rsid w:val="00DF694D"/>
    <w:rsid w:val="00E022E0"/>
    <w:rsid w:val="00E02DED"/>
    <w:rsid w:val="00E03A3B"/>
    <w:rsid w:val="00E12D12"/>
    <w:rsid w:val="00E13A3A"/>
    <w:rsid w:val="00E15C81"/>
    <w:rsid w:val="00E166F5"/>
    <w:rsid w:val="00E30646"/>
    <w:rsid w:val="00E3232A"/>
    <w:rsid w:val="00E330DB"/>
    <w:rsid w:val="00E40C7A"/>
    <w:rsid w:val="00E40D91"/>
    <w:rsid w:val="00E43669"/>
    <w:rsid w:val="00E50E5C"/>
    <w:rsid w:val="00E52744"/>
    <w:rsid w:val="00E53188"/>
    <w:rsid w:val="00E72BC5"/>
    <w:rsid w:val="00E818BA"/>
    <w:rsid w:val="00E82543"/>
    <w:rsid w:val="00E86966"/>
    <w:rsid w:val="00E92578"/>
    <w:rsid w:val="00E96493"/>
    <w:rsid w:val="00EA5ECE"/>
    <w:rsid w:val="00EB31D9"/>
    <w:rsid w:val="00EC4AD6"/>
    <w:rsid w:val="00ED09C7"/>
    <w:rsid w:val="00ED2D61"/>
    <w:rsid w:val="00ED4712"/>
    <w:rsid w:val="00EE77A3"/>
    <w:rsid w:val="00EF2CF4"/>
    <w:rsid w:val="00EF39AB"/>
    <w:rsid w:val="00EF3B5F"/>
    <w:rsid w:val="00EF621B"/>
    <w:rsid w:val="00F0167F"/>
    <w:rsid w:val="00F024FF"/>
    <w:rsid w:val="00F026E1"/>
    <w:rsid w:val="00F11CD9"/>
    <w:rsid w:val="00F14813"/>
    <w:rsid w:val="00F15AB2"/>
    <w:rsid w:val="00F249DB"/>
    <w:rsid w:val="00F264C5"/>
    <w:rsid w:val="00F30C9D"/>
    <w:rsid w:val="00F315D9"/>
    <w:rsid w:val="00F40A75"/>
    <w:rsid w:val="00F430F0"/>
    <w:rsid w:val="00F47614"/>
    <w:rsid w:val="00F520A4"/>
    <w:rsid w:val="00F5769A"/>
    <w:rsid w:val="00F6502D"/>
    <w:rsid w:val="00F73AF1"/>
    <w:rsid w:val="00F82644"/>
    <w:rsid w:val="00F83449"/>
    <w:rsid w:val="00F87905"/>
    <w:rsid w:val="00F914F0"/>
    <w:rsid w:val="00F91BE0"/>
    <w:rsid w:val="00FA1A16"/>
    <w:rsid w:val="00FA1D40"/>
    <w:rsid w:val="00FA540C"/>
    <w:rsid w:val="00FA60C2"/>
    <w:rsid w:val="00FB3EF0"/>
    <w:rsid w:val="00FC1991"/>
    <w:rsid w:val="00FC50DD"/>
    <w:rsid w:val="00FC6A73"/>
    <w:rsid w:val="00FD144F"/>
    <w:rsid w:val="00FE663A"/>
    <w:rsid w:val="00FF3F65"/>
    <w:rsid w:val="00FF4C7D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68EA90"/>
  <w14:defaultImageDpi w14:val="300"/>
  <w15:docId w15:val="{B903C841-4030-4727-8F3C-B727DA5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11"/>
    <w:pPr>
      <w:spacing w:after="180" w:line="274" w:lineRule="auto"/>
    </w:pPr>
    <w:rPr>
      <w:sz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46957"/>
    <w:pPr>
      <w:outlineLvl w:val="0"/>
    </w:pPr>
  </w:style>
  <w:style w:type="paragraph" w:styleId="Heading2">
    <w:name w:val="heading 2"/>
    <w:basedOn w:val="BodyCopy"/>
    <w:next w:val="Normal"/>
    <w:link w:val="Heading2Char"/>
    <w:uiPriority w:val="9"/>
    <w:unhideWhenUsed/>
    <w:qFormat/>
    <w:rsid w:val="00546957"/>
    <w:pPr>
      <w:outlineLvl w:val="1"/>
    </w:p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54695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71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7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7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B3B20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7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7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7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957"/>
    <w:rPr>
      <w:rFonts w:ascii="Calibri Light" w:hAnsi="Calibri Light" w:cs="Times New Roman (Body CS)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6957"/>
    <w:rPr>
      <w:rFonts w:ascii="Calibri Light" w:hAnsi="Calibri Light" w:cs="Times New Roman (Body CS)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6957"/>
    <w:rPr>
      <w:rFonts w:ascii="Calibri Light" w:hAnsi="Calibri Light" w:cs="Times New Roman (Body CS)"/>
      <w:color w:val="000000"/>
      <w:sz w:val="20"/>
    </w:rPr>
  </w:style>
  <w:style w:type="paragraph" w:customStyle="1" w:styleId="HeadingOne">
    <w:name w:val="Heading One"/>
    <w:basedOn w:val="Normal"/>
    <w:qFormat/>
    <w:rsid w:val="00257C7D"/>
    <w:pPr>
      <w:spacing w:after="120"/>
      <w:outlineLvl w:val="0"/>
    </w:pPr>
    <w:rPr>
      <w:rFonts w:cs="Times New Roman (Body CS)"/>
      <w:color w:val="184C8D" w:themeColor="accent3"/>
      <w:sz w:val="22"/>
      <w:szCs w:val="32"/>
    </w:rPr>
  </w:style>
  <w:style w:type="paragraph" w:customStyle="1" w:styleId="HeadingTwo">
    <w:name w:val="Heading Two"/>
    <w:basedOn w:val="BodyCopy"/>
    <w:qFormat/>
    <w:rsid w:val="00257C7D"/>
    <w:pPr>
      <w:spacing w:after="120" w:line="240" w:lineRule="auto"/>
      <w:outlineLvl w:val="1"/>
    </w:pPr>
    <w:rPr>
      <w:rFonts w:asciiTheme="minorHAnsi" w:hAnsiTheme="minorHAnsi"/>
      <w:color w:val="0A3167" w:themeColor="accent4"/>
      <w:sz w:val="24"/>
    </w:rPr>
  </w:style>
  <w:style w:type="paragraph" w:customStyle="1" w:styleId="BodyCopy">
    <w:name w:val="Body Copy"/>
    <w:basedOn w:val="Normal"/>
    <w:uiPriority w:val="99"/>
    <w:qFormat/>
    <w:rsid w:val="00433078"/>
    <w:pPr>
      <w:tabs>
        <w:tab w:val="left" w:pos="567"/>
      </w:tabs>
      <w:spacing w:line="288" w:lineRule="auto"/>
    </w:pPr>
    <w:rPr>
      <w:rFonts w:ascii="Calibri Light" w:hAnsi="Calibri Light" w:cs="Times New Roman (Body CS)"/>
      <w:color w:val="000000"/>
      <w:sz w:val="20"/>
    </w:rPr>
  </w:style>
  <w:style w:type="table" w:customStyle="1" w:styleId="ARPCtable">
    <w:name w:val="ARPC table"/>
    <w:basedOn w:val="TableNormal"/>
    <w:uiPriority w:val="99"/>
    <w:rsid w:val="00DF4E9A"/>
    <w:rPr>
      <w:rFonts w:eastAsia="Calibri"/>
      <w:lang w:val="en-AU"/>
    </w:rPr>
    <w:tblPr>
      <w:tblBorders>
        <w:top w:val="single" w:sz="2" w:space="0" w:color="686363" w:themeColor="text1" w:themeTint="A6"/>
        <w:left w:val="single" w:sz="2" w:space="0" w:color="686363" w:themeColor="text1" w:themeTint="A6"/>
        <w:bottom w:val="single" w:sz="2" w:space="0" w:color="686363" w:themeColor="text1" w:themeTint="A6"/>
        <w:right w:val="single" w:sz="2" w:space="0" w:color="686363" w:themeColor="text1" w:themeTint="A6"/>
        <w:insideH w:val="single" w:sz="2" w:space="0" w:color="686363" w:themeColor="text1" w:themeTint="A6"/>
        <w:insideV w:val="single" w:sz="2" w:space="0" w:color="686363" w:themeColor="text1" w:themeTint="A6"/>
      </w:tblBorders>
    </w:tblPr>
    <w:tblStylePr w:type="firstRow">
      <w:pPr>
        <w:jc w:val="left"/>
      </w:pPr>
      <w:rPr>
        <w:rFonts w:ascii="Calibri" w:hAnsi="Calibri"/>
        <w:b/>
        <w:color w:val="141313" w:themeColor="text1"/>
        <w:sz w:val="22"/>
      </w:rPr>
      <w:tblPr/>
      <w:tcPr>
        <w:shd w:val="clear" w:color="auto" w:fill="D8D8D7" w:themeFill="text2" w:themeFillTint="33"/>
        <w:vAlign w:val="center"/>
      </w:tcPr>
    </w:tblStylePr>
  </w:style>
  <w:style w:type="paragraph" w:customStyle="1" w:styleId="HeadingThree">
    <w:name w:val="Heading Three"/>
    <w:basedOn w:val="BodyCopy"/>
    <w:qFormat/>
    <w:rsid w:val="00257C7D"/>
    <w:pPr>
      <w:spacing w:before="240" w:after="120" w:line="240" w:lineRule="auto"/>
    </w:pPr>
    <w:rPr>
      <w:rFonts w:asciiTheme="minorHAnsi" w:hAnsiTheme="minorHAnsi"/>
      <w:b/>
      <w:color w:val="BB3B20" w:themeColor="accent1"/>
      <w:sz w:val="28"/>
    </w:rPr>
  </w:style>
  <w:style w:type="table" w:styleId="TableGrid">
    <w:name w:val="Table Grid"/>
    <w:basedOn w:val="TableNormal"/>
    <w:uiPriority w:val="59"/>
    <w:rsid w:val="0056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SSDefault">
    <w:name w:val="FSS Default"/>
    <w:basedOn w:val="TableNormal"/>
    <w:uiPriority w:val="99"/>
    <w:rsid w:val="009B0D25"/>
    <w:rPr>
      <w:lang w:val="en-AU"/>
    </w:rPr>
    <w:tblPr>
      <w:tblStyleRowBandSize w:val="1"/>
      <w:tblBorders>
        <w:top w:val="single" w:sz="4" w:space="0" w:color="0A3167" w:themeColor="accent4"/>
        <w:left w:val="single" w:sz="4" w:space="0" w:color="0A3167" w:themeColor="accent4"/>
        <w:bottom w:val="single" w:sz="4" w:space="0" w:color="0A3167" w:themeColor="accent4"/>
        <w:right w:val="single" w:sz="4" w:space="0" w:color="0A3167" w:themeColor="accent4"/>
        <w:insideH w:val="single" w:sz="4" w:space="0" w:color="0A3167" w:themeColor="accent4"/>
        <w:insideV w:val="single" w:sz="4" w:space="0" w:color="0A3167" w:themeColor="accent4"/>
      </w:tblBorders>
    </w:tblPr>
    <w:tblStylePr w:type="firstRow">
      <w:rPr>
        <w:b/>
        <w:color w:val="BB3B20" w:themeColor="accent1"/>
      </w:rPr>
      <w:tblPr/>
      <w:tcPr>
        <w:tcBorders>
          <w:top w:val="single" w:sz="6" w:space="0" w:color="BB3B20" w:themeColor="accent1"/>
          <w:left w:val="single" w:sz="6" w:space="0" w:color="BB3B20" w:themeColor="accent1"/>
          <w:bottom w:val="single" w:sz="6" w:space="0" w:color="FFFFFF" w:themeColor="background1"/>
          <w:right w:val="single" w:sz="6" w:space="0" w:color="BB3B20" w:themeColor="accent1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BB3B20" w:themeFill="accent1"/>
      </w:tcPr>
    </w:tblStylePr>
    <w:tblStylePr w:type="firstCol">
      <w:rPr>
        <w:b/>
      </w:rPr>
    </w:tblStylePr>
  </w:style>
  <w:style w:type="paragraph" w:customStyle="1" w:styleId="Bullet">
    <w:name w:val="Bullet"/>
    <w:basedOn w:val="Normal"/>
    <w:qFormat/>
    <w:rsid w:val="00257C7D"/>
    <w:pPr>
      <w:numPr>
        <w:numId w:val="19"/>
      </w:numPr>
      <w:spacing w:after="120"/>
    </w:pPr>
    <w:rPr>
      <w:rFonts w:ascii="Calibri Light" w:hAnsi="Calibri Light" w:cs="Times New Roman (Body CS)"/>
      <w:color w:val="141313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A8"/>
    <w:rPr>
      <w:rFonts w:ascii="Lucida Grande" w:eastAsia="Calibri" w:hAnsi="Lucida Grande" w:cs="Lucida Grande"/>
      <w:sz w:val="18"/>
      <w:szCs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F3B89"/>
  </w:style>
  <w:style w:type="character" w:customStyle="1" w:styleId="Heading4Char">
    <w:name w:val="Heading 4 Char"/>
    <w:basedOn w:val="DefaultParagraphFont"/>
    <w:link w:val="Heading4"/>
    <w:uiPriority w:val="9"/>
    <w:rsid w:val="003527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71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711"/>
    <w:rPr>
      <w:rFonts w:asciiTheme="majorHAnsi" w:eastAsiaTheme="majorEastAsia" w:hAnsiTheme="majorHAnsi" w:cstheme="majorBidi"/>
      <w:iCs/>
      <w:color w:val="BB3B2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7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7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7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711"/>
    <w:pPr>
      <w:spacing w:line="240" w:lineRule="auto"/>
    </w:pPr>
    <w:rPr>
      <w:rFonts w:asciiTheme="majorHAnsi" w:eastAsiaTheme="minorEastAsia" w:hAnsiTheme="majorHAnsi"/>
      <w:bCs/>
      <w:smallCaps/>
      <w:color w:val="3C3C3B" w:themeColor="text2"/>
      <w:spacing w:val="6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711"/>
    <w:pPr>
      <w:spacing w:before="480" w:line="264" w:lineRule="auto"/>
      <w:outlineLvl w:val="9"/>
    </w:pPr>
    <w:rPr>
      <w:b/>
    </w:rPr>
  </w:style>
  <w:style w:type="paragraph" w:customStyle="1" w:styleId="ContentsBox">
    <w:name w:val="Contents Box"/>
    <w:basedOn w:val="BodyCopy"/>
    <w:qFormat/>
    <w:rsid w:val="00352711"/>
    <w:pPr>
      <w:spacing w:after="200" w:line="240" w:lineRule="auto"/>
    </w:pPr>
    <w:rPr>
      <w:rFonts w:ascii="Calibri" w:hAnsi="Calibri"/>
      <w:color w:val="424242"/>
      <w:sz w:val="19"/>
    </w:rPr>
  </w:style>
  <w:style w:type="paragraph" w:customStyle="1" w:styleId="PulloutText">
    <w:name w:val="Pullout Text"/>
    <w:basedOn w:val="Normal"/>
    <w:qFormat/>
    <w:rsid w:val="000D65C5"/>
    <w:pPr>
      <w:suppressAutoHyphens/>
      <w:autoSpaceDE w:val="0"/>
      <w:autoSpaceDN w:val="0"/>
      <w:adjustRightInd w:val="0"/>
      <w:spacing w:after="113" w:line="240" w:lineRule="auto"/>
      <w:textAlignment w:val="center"/>
    </w:pPr>
    <w:rPr>
      <w:rFonts w:ascii="Calibri" w:hAnsi="Calibri" w:cs="Calibri"/>
      <w:color w:val="184C8D" w:themeColor="accent3"/>
      <w:sz w:val="24"/>
      <w:szCs w:val="24"/>
      <w:lang w:val="en-GB"/>
    </w:rPr>
  </w:style>
  <w:style w:type="paragraph" w:customStyle="1" w:styleId="DateStyle">
    <w:name w:val="Date Style"/>
    <w:qFormat/>
    <w:rsid w:val="00895849"/>
    <w:pPr>
      <w:jc w:val="right"/>
    </w:pPr>
    <w:rPr>
      <w:rFonts w:ascii="Calibri" w:hAnsi="Calibri" w:cs="Times New Roman (Body CS)"/>
      <w:color w:val="424242"/>
      <w:sz w:val="19"/>
    </w:rPr>
  </w:style>
  <w:style w:type="paragraph" w:styleId="Header">
    <w:name w:val="header"/>
    <w:basedOn w:val="Normal"/>
    <w:link w:val="HeaderChar"/>
    <w:uiPriority w:val="99"/>
    <w:unhideWhenUsed/>
    <w:rsid w:val="006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1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6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13"/>
    <w:rPr>
      <w:sz w:val="21"/>
    </w:rPr>
  </w:style>
  <w:style w:type="character" w:styleId="Hyperlink">
    <w:name w:val="Hyperlink"/>
    <w:basedOn w:val="DefaultParagraphFont"/>
    <w:uiPriority w:val="99"/>
    <w:unhideWhenUsed/>
    <w:rsid w:val="00D05379"/>
    <w:rPr>
      <w:color w:val="FFFFFE" w:themeColor="hyperlink"/>
      <w:u w:val="single"/>
    </w:rPr>
  </w:style>
  <w:style w:type="paragraph" w:styleId="NoSpacing">
    <w:name w:val="No Spacing"/>
    <w:uiPriority w:val="1"/>
    <w:qFormat/>
    <w:rsid w:val="00D05379"/>
    <w:pPr>
      <w:spacing w:after="0" w:line="240" w:lineRule="auto"/>
    </w:pPr>
    <w:rPr>
      <w:sz w:val="21"/>
    </w:rPr>
  </w:style>
  <w:style w:type="paragraph" w:customStyle="1" w:styleId="font8">
    <w:name w:val="font_8"/>
    <w:basedOn w:val="Normal"/>
    <w:rsid w:val="00CE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E11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AC0"/>
    <w:rPr>
      <w:color w:val="FFFFFE" w:themeColor="followedHyperlink"/>
      <w:u w:val="single"/>
    </w:rPr>
  </w:style>
  <w:style w:type="character" w:customStyle="1" w:styleId="normaltextrun">
    <w:name w:val="normaltextrun"/>
    <w:basedOn w:val="DefaultParagraphFont"/>
    <w:rsid w:val="00D35537"/>
  </w:style>
  <w:style w:type="table" w:styleId="PlainTable4">
    <w:name w:val="Plain Table 4"/>
    <w:basedOn w:val="TableNormal"/>
    <w:uiPriority w:val="99"/>
    <w:rsid w:val="000C67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3232A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arpc.gov.au/2021/05/04/arpc-ready-to-support-new-reinsurance-poo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pm.gov.au/media/doorstop-cairns-qld-0405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sters.treasury.gov.au/ministers/michael-sukkar-2019/media-releases/more-affordable-access-insurance-northern-australia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enquiries@arp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hFrankel\OneDrive%20-%20ARPC\ARPC\Newsletter\ARPC%20Newsletter%20Template%20Mar21.dotx" TargetMode="External"/></Relationships>
</file>

<file path=word/theme/theme1.xml><?xml version="1.0" encoding="utf-8"?>
<a:theme xmlns:a="http://schemas.openxmlformats.org/drawingml/2006/main" name="ARPC_Colours_Word">
  <a:themeElements>
    <a:clrScheme name="ARPC Colour Pallet">
      <a:dk1>
        <a:srgbClr val="141313"/>
      </a:dk1>
      <a:lt1>
        <a:sysClr val="window" lastClr="FFFFFF"/>
      </a:lt1>
      <a:dk2>
        <a:srgbClr val="3C3C3B"/>
      </a:dk2>
      <a:lt2>
        <a:srgbClr val="34183C"/>
      </a:lt2>
      <a:accent1>
        <a:srgbClr val="BB3B20"/>
      </a:accent1>
      <a:accent2>
        <a:srgbClr val="003D2A"/>
      </a:accent2>
      <a:accent3>
        <a:srgbClr val="184C8D"/>
      </a:accent3>
      <a:accent4>
        <a:srgbClr val="0A3167"/>
      </a:accent4>
      <a:accent5>
        <a:srgbClr val="081025"/>
      </a:accent5>
      <a:accent6>
        <a:srgbClr val="FFFFFE"/>
      </a:accent6>
      <a:hlink>
        <a:srgbClr val="FFFFFE"/>
      </a:hlink>
      <a:folHlink>
        <a:srgbClr val="FFFFF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2021MG-92-76270</_dlc_DocId>
    <_dlc_DocIdUrl xmlns="0f563589-9cf9-4143-b1eb-fb0534803d38">
      <Url>http://tweb/sites/mg/fsd/_layouts/15/DocIdRedir.aspx?ID=2021MG-92-76270</Url>
      <Description>2021MG-92-76270</Description>
    </_dlc_DocIdUrl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37879" ma:contentTypeDescription=" " ma:contentTypeScope="" ma:versionID="428262316717f1c1500c7b854dfb611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c98e7e17f47d4651d623a8d7d2dd0d8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Props1.xml><?xml version="1.0" encoding="utf-8"?>
<ds:datastoreItem xmlns:ds="http://schemas.openxmlformats.org/officeDocument/2006/customXml" ds:itemID="{A9D515C8-758C-4BB6-BC06-5787EBA1201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F8163C2-3CF9-40A0-865C-C7BE36F02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3CD7-F2D3-4670-9D16-366640A4A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B669F0-85A6-4526-98D2-F684E2CE147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sharepoint/v4"/>
    <ds:schemaRef ds:uri="http://schemas.microsoft.com/office/infopath/2007/PartnerControls"/>
    <ds:schemaRef ds:uri="d4dd4adf-ddb3-46a3-8d7c-fab3fb2a6bc7"/>
    <ds:schemaRef ds:uri="0f563589-9cf9-4143-b1eb-fb0534803d38"/>
  </ds:schemaRefs>
</ds:datastoreItem>
</file>

<file path=customXml/itemProps5.xml><?xml version="1.0" encoding="utf-8"?>
<ds:datastoreItem xmlns:ds="http://schemas.openxmlformats.org/officeDocument/2006/customXml" ds:itemID="{A07F8DF6-EAF9-6E4E-A9D5-CDAC7921761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780B90-CC93-4F8F-A2A0-EEAF6896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462C71C-2F11-45C7-8BB7-29617D5FDF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ARPC Newsletter Template Mar21</Template>
  <TotalTime>13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the cover</vt:lpstr>
    </vt:vector>
  </TitlesOfParts>
  <Manager/>
  <Company>ARPC</Company>
  <LinksUpToDate>false</LinksUpToDate>
  <CharactersWithSpaces>6259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cover</dc:title>
  <dc:subject>Quarterly newsletter template</dc:subject>
  <dc:creator>Kiah Frankel</dc:creator>
  <cp:keywords/>
  <dc:description/>
  <cp:lastModifiedBy>Kiah Frankel</cp:lastModifiedBy>
  <cp:revision>2</cp:revision>
  <cp:lastPrinted>2021-05-17T23:11:00Z</cp:lastPrinted>
  <dcterms:created xsi:type="dcterms:W3CDTF">2021-05-17T23:24:00Z</dcterms:created>
  <dcterms:modified xsi:type="dcterms:W3CDTF">2021-05-17T23:24:00Z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0x010100E95D40E5DFEA714B90E88DB5CE07A6B500BFDF0D6C871D7942A562434B13DA708E</vt:lpwstr>
  </property>
  <property fmtid="{D5CDD505-2E9C-101B-9397-08002B2CF9AE}" pid="3" name="AuthorIds_UIVersion_1024">
    <vt:lpwstr>91,625</vt:lpwstr>
  </property>
  <property fmtid="{D5CDD505-2E9C-101B-9397-08002B2CF9AE}" pid="4" name="_dlc_DocIdItemGuid">
    <vt:lpwstr>b0def7e6-bc01-4c2a-b457-daef05a8a0b9</vt:lpwstr>
  </property>
  <property fmtid="{D5CDD505-2E9C-101B-9397-08002B2CF9AE}" pid="5" name="TSYRecordClass">
    <vt:lpwstr>2;#TSY RA-9081 - Retain as national archives|bbf0bcde-1687-4ff2-bc57-f31b5d545d4b</vt:lpwstr>
  </property>
</Properties>
</file>