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2EF5" w14:textId="77777777" w:rsidR="00591638" w:rsidRDefault="00591638">
      <w:pPr>
        <w:pStyle w:val="BodyText"/>
        <w:rPr>
          <w:rFonts w:ascii="Times New Roman"/>
        </w:rPr>
      </w:pPr>
    </w:p>
    <w:p w14:paraId="42402EF6" w14:textId="77777777" w:rsidR="00591638" w:rsidRDefault="00591638">
      <w:pPr>
        <w:pStyle w:val="BodyText"/>
        <w:rPr>
          <w:rFonts w:ascii="Times New Roman"/>
        </w:rPr>
      </w:pPr>
    </w:p>
    <w:p w14:paraId="42402EF7" w14:textId="77777777" w:rsidR="00591638" w:rsidRDefault="00591638">
      <w:pPr>
        <w:pStyle w:val="BodyText"/>
        <w:rPr>
          <w:rFonts w:ascii="Times New Roman"/>
        </w:rPr>
      </w:pPr>
    </w:p>
    <w:p w14:paraId="42402EF8" w14:textId="77777777" w:rsidR="00591638" w:rsidRDefault="00591638">
      <w:pPr>
        <w:pStyle w:val="BodyText"/>
        <w:rPr>
          <w:rFonts w:ascii="Times New Roman"/>
        </w:rPr>
      </w:pPr>
    </w:p>
    <w:p w14:paraId="42402EF9" w14:textId="77777777" w:rsidR="00591638" w:rsidRDefault="00591638">
      <w:pPr>
        <w:pStyle w:val="BodyText"/>
        <w:rPr>
          <w:rFonts w:ascii="Times New Roman"/>
        </w:rPr>
      </w:pPr>
    </w:p>
    <w:p w14:paraId="42402EFA" w14:textId="77777777" w:rsidR="00591638" w:rsidRDefault="00591638">
      <w:pPr>
        <w:pStyle w:val="BodyText"/>
        <w:rPr>
          <w:rFonts w:ascii="Times New Roman"/>
        </w:rPr>
      </w:pPr>
    </w:p>
    <w:p w14:paraId="42402EFB" w14:textId="77777777" w:rsidR="00591638" w:rsidRDefault="00591638">
      <w:pPr>
        <w:pStyle w:val="BodyText"/>
        <w:rPr>
          <w:rFonts w:ascii="Times New Roman"/>
        </w:rPr>
      </w:pPr>
    </w:p>
    <w:p w14:paraId="42402EFC" w14:textId="77777777" w:rsidR="00591638" w:rsidRDefault="00591638">
      <w:pPr>
        <w:pStyle w:val="BodyText"/>
        <w:rPr>
          <w:rFonts w:ascii="Times New Roman"/>
        </w:rPr>
      </w:pPr>
    </w:p>
    <w:p w14:paraId="42402EFD" w14:textId="77777777" w:rsidR="00591638" w:rsidRDefault="00591638">
      <w:pPr>
        <w:pStyle w:val="BodyText"/>
        <w:rPr>
          <w:rFonts w:ascii="Times New Roman"/>
        </w:rPr>
      </w:pPr>
    </w:p>
    <w:p w14:paraId="42402EFE" w14:textId="77777777" w:rsidR="00591638" w:rsidRDefault="00591638">
      <w:pPr>
        <w:pStyle w:val="BodyText"/>
        <w:rPr>
          <w:rFonts w:ascii="Times New Roman"/>
        </w:rPr>
      </w:pPr>
    </w:p>
    <w:p w14:paraId="42402EFF" w14:textId="77777777" w:rsidR="00591638" w:rsidRDefault="00591638">
      <w:pPr>
        <w:pStyle w:val="BodyText"/>
        <w:rPr>
          <w:rFonts w:ascii="Times New Roman"/>
        </w:rPr>
      </w:pPr>
    </w:p>
    <w:p w14:paraId="42402F00" w14:textId="77777777" w:rsidR="00591638" w:rsidRDefault="00591638">
      <w:pPr>
        <w:pStyle w:val="BodyText"/>
        <w:rPr>
          <w:rFonts w:ascii="Times New Roman"/>
        </w:rPr>
      </w:pPr>
    </w:p>
    <w:p w14:paraId="42402F01" w14:textId="77777777" w:rsidR="00591638" w:rsidRDefault="00591638">
      <w:pPr>
        <w:pStyle w:val="BodyText"/>
        <w:spacing w:before="10"/>
        <w:rPr>
          <w:rFonts w:ascii="Times New Roman"/>
          <w:sz w:val="15"/>
        </w:rPr>
      </w:pPr>
    </w:p>
    <w:p w14:paraId="42402F02" w14:textId="77777777" w:rsidR="00591638" w:rsidRDefault="00796DDB">
      <w:pPr>
        <w:spacing w:before="62"/>
        <w:ind w:right="113"/>
        <w:jc w:val="right"/>
        <w:rPr>
          <w:rFonts w:ascii="Calibri"/>
          <w:sz w:val="19"/>
        </w:rPr>
      </w:pPr>
      <w:r>
        <w:rPr>
          <w:rFonts w:ascii="Calibri"/>
          <w:color w:val="424242"/>
          <w:sz w:val="19"/>
        </w:rPr>
        <w:t>JULY</w:t>
      </w:r>
      <w:r>
        <w:rPr>
          <w:rFonts w:ascii="Calibri"/>
          <w:color w:val="424242"/>
          <w:spacing w:val="-2"/>
          <w:sz w:val="19"/>
        </w:rPr>
        <w:t xml:space="preserve"> </w:t>
      </w:r>
      <w:r>
        <w:rPr>
          <w:rFonts w:ascii="Calibri"/>
          <w:color w:val="424242"/>
          <w:sz w:val="19"/>
        </w:rPr>
        <w:t>2021</w:t>
      </w:r>
    </w:p>
    <w:p w14:paraId="42402F03" w14:textId="77777777" w:rsidR="00591638" w:rsidRDefault="00591638">
      <w:pPr>
        <w:pStyle w:val="BodyText"/>
        <w:rPr>
          <w:rFonts w:ascii="Calibri"/>
        </w:rPr>
      </w:pPr>
    </w:p>
    <w:p w14:paraId="42402F04" w14:textId="77777777" w:rsidR="00591638" w:rsidRDefault="00591638">
      <w:pPr>
        <w:pStyle w:val="BodyText"/>
        <w:rPr>
          <w:rFonts w:ascii="Calibri"/>
        </w:rPr>
      </w:pPr>
    </w:p>
    <w:p w14:paraId="42402F05" w14:textId="77777777" w:rsidR="00591638" w:rsidRDefault="00591638">
      <w:pPr>
        <w:pStyle w:val="BodyText"/>
        <w:rPr>
          <w:rFonts w:ascii="Calibri"/>
        </w:rPr>
      </w:pPr>
    </w:p>
    <w:p w14:paraId="42402F06" w14:textId="77777777" w:rsidR="00591638" w:rsidRDefault="00591638">
      <w:pPr>
        <w:rPr>
          <w:rFonts w:ascii="Calibri"/>
        </w:rPr>
        <w:sectPr w:rsidR="00591638">
          <w:type w:val="continuous"/>
          <w:pgSz w:w="11900" w:h="16850"/>
          <w:pgMar w:top="1600" w:right="360" w:bottom="280" w:left="820" w:header="720" w:footer="720" w:gutter="0"/>
          <w:cols w:space="720"/>
        </w:sectPr>
      </w:pPr>
    </w:p>
    <w:p w14:paraId="42402F07" w14:textId="77777777" w:rsidR="00591638" w:rsidRDefault="00796DDB">
      <w:pPr>
        <w:pStyle w:val="BodyText"/>
        <w:spacing w:before="9"/>
        <w:rPr>
          <w:rFonts w:ascii="Calibri"/>
          <w:sz w:val="19"/>
        </w:rPr>
      </w:pPr>
      <w:r>
        <w:rPr>
          <w:noProof/>
        </w:rPr>
        <w:drawing>
          <wp:anchor distT="0" distB="0" distL="0" distR="0" simplePos="0" relativeHeight="487400960" behindDoc="1" locked="0" layoutInCell="1" allowOverlap="1" wp14:anchorId="42402FE4" wp14:editId="42402FE5">
            <wp:simplePos x="0" y="0"/>
            <wp:positionH relativeFrom="page">
              <wp:posOffset>260685</wp:posOffset>
            </wp:positionH>
            <wp:positionV relativeFrom="page">
              <wp:posOffset>231715</wp:posOffset>
            </wp:positionV>
            <wp:extent cx="7038504" cy="101375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504" cy="1013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02F08" w14:textId="77777777" w:rsidR="00591638" w:rsidRDefault="00796DDB">
      <w:pPr>
        <w:ind w:left="101"/>
        <w:rPr>
          <w:rFonts w:ascii="Calibri" w:hAnsi="Calibri"/>
          <w:b/>
          <w:sz w:val="19"/>
        </w:rPr>
      </w:pPr>
      <w:hyperlink w:anchor="_bookmark0" w:history="1">
        <w:r>
          <w:rPr>
            <w:rFonts w:ascii="Calibri" w:hAnsi="Calibri"/>
            <w:b/>
            <w:color w:val="424242"/>
            <w:sz w:val="19"/>
          </w:rPr>
          <w:t>ARPC’s</w:t>
        </w:r>
        <w:r>
          <w:rPr>
            <w:rFonts w:ascii="Calibri" w:hAnsi="Calibri"/>
            <w:b/>
            <w:color w:val="424242"/>
            <w:spacing w:val="-4"/>
            <w:sz w:val="19"/>
          </w:rPr>
          <w:t xml:space="preserve"> </w:t>
        </w:r>
        <w:r>
          <w:rPr>
            <w:rFonts w:ascii="Calibri" w:hAnsi="Calibri"/>
            <w:b/>
            <w:color w:val="424242"/>
            <w:sz w:val="19"/>
          </w:rPr>
          <w:t>customer</w:t>
        </w:r>
        <w:r>
          <w:rPr>
            <w:rFonts w:ascii="Calibri" w:hAnsi="Calibri"/>
            <w:b/>
            <w:color w:val="424242"/>
            <w:spacing w:val="-4"/>
            <w:sz w:val="19"/>
          </w:rPr>
          <w:t xml:space="preserve"> </w:t>
        </w:r>
        <w:r>
          <w:rPr>
            <w:rFonts w:ascii="Calibri" w:hAnsi="Calibri"/>
            <w:b/>
            <w:color w:val="424242"/>
            <w:sz w:val="19"/>
          </w:rPr>
          <w:t>survey</w:t>
        </w:r>
        <w:r>
          <w:rPr>
            <w:rFonts w:ascii="Calibri" w:hAnsi="Calibri"/>
            <w:b/>
            <w:color w:val="424242"/>
            <w:spacing w:val="-2"/>
            <w:sz w:val="19"/>
          </w:rPr>
          <w:t xml:space="preserve"> </w:t>
        </w:r>
        <w:r>
          <w:rPr>
            <w:rFonts w:ascii="Calibri" w:hAnsi="Calibri"/>
            <w:b/>
            <w:color w:val="424242"/>
            <w:sz w:val="19"/>
          </w:rPr>
          <w:t>results</w:t>
        </w:r>
      </w:hyperlink>
    </w:p>
    <w:p w14:paraId="42402F09" w14:textId="77777777" w:rsidR="00591638" w:rsidRDefault="00591638">
      <w:pPr>
        <w:pStyle w:val="BodyText"/>
        <w:spacing w:before="4"/>
        <w:rPr>
          <w:rFonts w:ascii="Calibri"/>
          <w:b/>
          <w:sz w:val="16"/>
        </w:rPr>
      </w:pPr>
    </w:p>
    <w:p w14:paraId="42402F0A" w14:textId="77777777" w:rsidR="00591638" w:rsidRDefault="00796DDB">
      <w:pPr>
        <w:spacing w:before="1"/>
        <w:ind w:left="101" w:right="232"/>
        <w:rPr>
          <w:rFonts w:ascii="Calibri"/>
          <w:b/>
          <w:sz w:val="19"/>
        </w:rPr>
      </w:pPr>
      <w:hyperlink w:anchor="_bookmark0" w:history="1">
        <w:r>
          <w:rPr>
            <w:rFonts w:ascii="Calibri"/>
            <w:b/>
            <w:color w:val="424242"/>
            <w:sz w:val="19"/>
          </w:rPr>
          <w:t>ARPC</w:t>
        </w:r>
        <w:r>
          <w:rPr>
            <w:rFonts w:ascii="Calibri"/>
            <w:b/>
            <w:color w:val="424242"/>
            <w:spacing w:val="-5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welcomes</w:t>
        </w:r>
        <w:r>
          <w:rPr>
            <w:rFonts w:ascii="Calibri"/>
            <w:b/>
            <w:color w:val="424242"/>
            <w:spacing w:val="-4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2021</w:t>
        </w:r>
        <w:r>
          <w:rPr>
            <w:rFonts w:ascii="Calibri"/>
            <w:b/>
            <w:color w:val="424242"/>
            <w:spacing w:val="-6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Triennial</w:t>
        </w:r>
        <w:r>
          <w:rPr>
            <w:rFonts w:ascii="Calibri"/>
            <w:b/>
            <w:color w:val="424242"/>
            <w:spacing w:val="-40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Review</w:t>
        </w:r>
      </w:hyperlink>
    </w:p>
    <w:p w14:paraId="42402F0B" w14:textId="77777777" w:rsidR="00591638" w:rsidRDefault="00591638">
      <w:pPr>
        <w:pStyle w:val="BodyText"/>
        <w:spacing w:before="5"/>
        <w:rPr>
          <w:rFonts w:ascii="Calibri"/>
          <w:b/>
          <w:sz w:val="16"/>
        </w:rPr>
      </w:pPr>
    </w:p>
    <w:p w14:paraId="42402F0C" w14:textId="77777777" w:rsidR="00591638" w:rsidRDefault="00796DDB">
      <w:pPr>
        <w:ind w:left="101"/>
        <w:rPr>
          <w:rFonts w:ascii="Calibri"/>
          <w:b/>
          <w:sz w:val="19"/>
        </w:rPr>
      </w:pPr>
      <w:hyperlink w:anchor="_bookmark1" w:history="1">
        <w:r>
          <w:rPr>
            <w:rFonts w:ascii="Calibri"/>
            <w:b/>
            <w:color w:val="424242"/>
            <w:sz w:val="19"/>
          </w:rPr>
          <w:t>Board</w:t>
        </w:r>
        <w:r>
          <w:rPr>
            <w:rFonts w:ascii="Calibri"/>
            <w:b/>
            <w:color w:val="424242"/>
            <w:spacing w:val="-2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update</w:t>
        </w:r>
      </w:hyperlink>
    </w:p>
    <w:p w14:paraId="42402F0D" w14:textId="77777777" w:rsidR="00591638" w:rsidRDefault="00591638">
      <w:pPr>
        <w:pStyle w:val="BodyText"/>
        <w:spacing w:before="5"/>
        <w:rPr>
          <w:rFonts w:ascii="Calibri"/>
          <w:b/>
          <w:sz w:val="16"/>
        </w:rPr>
      </w:pPr>
    </w:p>
    <w:p w14:paraId="42402F0E" w14:textId="77777777" w:rsidR="00591638" w:rsidRDefault="00796DDB">
      <w:pPr>
        <w:ind w:left="101" w:right="636"/>
        <w:jc w:val="both"/>
        <w:rPr>
          <w:rFonts w:ascii="Calibri" w:hAnsi="Calibri"/>
          <w:b/>
          <w:sz w:val="19"/>
        </w:rPr>
      </w:pPr>
      <w:hyperlink w:anchor="_bookmark2" w:history="1">
        <w:r>
          <w:rPr>
            <w:rFonts w:ascii="Calibri" w:hAnsi="Calibri"/>
            <w:b/>
            <w:color w:val="424242"/>
            <w:sz w:val="19"/>
          </w:rPr>
          <w:t>ARPC supports Treasury’s</w:t>
        </w:r>
        <w:r>
          <w:rPr>
            <w:rFonts w:ascii="Calibri" w:hAnsi="Calibri"/>
            <w:b/>
            <w:color w:val="424242"/>
            <w:spacing w:val="-40"/>
            <w:sz w:val="19"/>
          </w:rPr>
          <w:t xml:space="preserve"> </w:t>
        </w:r>
        <w:r>
          <w:rPr>
            <w:rFonts w:ascii="Calibri" w:hAnsi="Calibri"/>
            <w:b/>
            <w:color w:val="424242"/>
            <w:sz w:val="19"/>
          </w:rPr>
          <w:t>Cyclone Reinsurance Pool</w:t>
        </w:r>
        <w:r>
          <w:rPr>
            <w:rFonts w:ascii="Calibri" w:hAnsi="Calibri"/>
            <w:b/>
            <w:color w:val="424242"/>
            <w:spacing w:val="-40"/>
            <w:sz w:val="19"/>
          </w:rPr>
          <w:t xml:space="preserve"> </w:t>
        </w:r>
        <w:r>
          <w:rPr>
            <w:rFonts w:ascii="Calibri" w:hAnsi="Calibri"/>
            <w:b/>
            <w:color w:val="424242"/>
            <w:sz w:val="19"/>
          </w:rPr>
          <w:t>Taskforce</w:t>
        </w:r>
      </w:hyperlink>
    </w:p>
    <w:p w14:paraId="42402F0F" w14:textId="77777777" w:rsidR="00591638" w:rsidRDefault="00591638">
      <w:pPr>
        <w:pStyle w:val="BodyText"/>
        <w:spacing w:before="4"/>
        <w:rPr>
          <w:rFonts w:ascii="Calibri"/>
          <w:b/>
          <w:sz w:val="16"/>
        </w:rPr>
      </w:pPr>
    </w:p>
    <w:p w14:paraId="42402F10" w14:textId="77777777" w:rsidR="00591638" w:rsidRDefault="00796DDB">
      <w:pPr>
        <w:ind w:left="101"/>
        <w:rPr>
          <w:rFonts w:ascii="Calibri"/>
          <w:b/>
          <w:sz w:val="19"/>
        </w:rPr>
      </w:pPr>
      <w:hyperlink w:anchor="_bookmark2" w:history="1">
        <w:r>
          <w:rPr>
            <w:rFonts w:ascii="Calibri"/>
            <w:b/>
            <w:color w:val="424242"/>
            <w:sz w:val="19"/>
          </w:rPr>
          <w:t>Risk</w:t>
        </w:r>
        <w:r>
          <w:rPr>
            <w:rFonts w:ascii="Calibri"/>
            <w:b/>
            <w:color w:val="424242"/>
            <w:spacing w:val="-4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mitigation</w:t>
        </w:r>
        <w:r>
          <w:rPr>
            <w:rFonts w:ascii="Calibri"/>
            <w:b/>
            <w:color w:val="424242"/>
            <w:spacing w:val="-3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handbook</w:t>
        </w:r>
        <w:r>
          <w:rPr>
            <w:rFonts w:ascii="Calibri"/>
            <w:b/>
            <w:color w:val="424242"/>
            <w:spacing w:val="-1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update</w:t>
        </w:r>
      </w:hyperlink>
    </w:p>
    <w:p w14:paraId="42402F11" w14:textId="77777777" w:rsidR="00591638" w:rsidRDefault="00591638">
      <w:pPr>
        <w:pStyle w:val="BodyText"/>
        <w:spacing w:before="5"/>
        <w:rPr>
          <w:rFonts w:ascii="Calibri"/>
          <w:b/>
          <w:sz w:val="16"/>
        </w:rPr>
      </w:pPr>
    </w:p>
    <w:p w14:paraId="42402F12" w14:textId="77777777" w:rsidR="00591638" w:rsidRDefault="00796DDB">
      <w:pPr>
        <w:ind w:left="101" w:right="134"/>
        <w:rPr>
          <w:rFonts w:ascii="Calibri"/>
          <w:b/>
          <w:sz w:val="19"/>
        </w:rPr>
      </w:pPr>
      <w:hyperlink w:anchor="_bookmark2" w:history="1">
        <w:r>
          <w:rPr>
            <w:rFonts w:ascii="Calibri"/>
            <w:b/>
            <w:color w:val="424242"/>
            <w:sz w:val="19"/>
          </w:rPr>
          <w:t>INSIGHTS:</w:t>
        </w:r>
        <w:r>
          <w:rPr>
            <w:rFonts w:ascii="Calibri"/>
            <w:b/>
            <w:color w:val="424242"/>
            <w:spacing w:val="-4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The</w:t>
        </w:r>
        <w:r>
          <w:rPr>
            <w:rFonts w:ascii="Calibri"/>
            <w:b/>
            <w:color w:val="424242"/>
            <w:spacing w:val="-3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economic</w:t>
        </w:r>
        <w:r>
          <w:rPr>
            <w:rFonts w:ascii="Calibri"/>
            <w:b/>
            <w:color w:val="424242"/>
            <w:spacing w:val="-4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impact</w:t>
        </w:r>
        <w:r>
          <w:rPr>
            <w:rFonts w:ascii="Calibri"/>
            <w:b/>
            <w:color w:val="424242"/>
            <w:spacing w:val="-40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of</w:t>
        </w:r>
        <w:r>
          <w:rPr>
            <w:rFonts w:ascii="Calibri"/>
            <w:b/>
            <w:color w:val="424242"/>
            <w:spacing w:val="-2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exclusion</w:t>
        </w:r>
        <w:r>
          <w:rPr>
            <w:rFonts w:ascii="Calibri"/>
            <w:b/>
            <w:color w:val="424242"/>
            <w:spacing w:val="-1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zones</w:t>
        </w:r>
      </w:hyperlink>
    </w:p>
    <w:p w14:paraId="42402F13" w14:textId="77777777" w:rsidR="00591638" w:rsidRDefault="00591638">
      <w:pPr>
        <w:pStyle w:val="BodyText"/>
        <w:spacing w:before="6"/>
        <w:rPr>
          <w:rFonts w:ascii="Calibri"/>
          <w:b/>
          <w:sz w:val="16"/>
        </w:rPr>
      </w:pPr>
    </w:p>
    <w:p w14:paraId="42402F14" w14:textId="77777777" w:rsidR="00591638" w:rsidRDefault="00796DDB">
      <w:pPr>
        <w:ind w:left="101"/>
        <w:rPr>
          <w:rFonts w:ascii="Calibri"/>
          <w:b/>
          <w:sz w:val="19"/>
        </w:rPr>
      </w:pPr>
      <w:hyperlink w:anchor="_bookmark3" w:history="1">
        <w:r>
          <w:rPr>
            <w:rFonts w:ascii="Calibri"/>
            <w:b/>
            <w:color w:val="424242"/>
            <w:sz w:val="19"/>
          </w:rPr>
          <w:t>Reports</w:t>
        </w:r>
        <w:r>
          <w:rPr>
            <w:rFonts w:ascii="Calibri"/>
            <w:b/>
            <w:color w:val="424242"/>
            <w:spacing w:val="-3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due</w:t>
        </w:r>
      </w:hyperlink>
    </w:p>
    <w:p w14:paraId="42402F15" w14:textId="77777777" w:rsidR="00591638" w:rsidRDefault="00591638">
      <w:pPr>
        <w:pStyle w:val="BodyText"/>
        <w:spacing w:before="2"/>
        <w:rPr>
          <w:rFonts w:ascii="Calibri"/>
          <w:b/>
          <w:sz w:val="16"/>
        </w:rPr>
      </w:pPr>
    </w:p>
    <w:p w14:paraId="42402F16" w14:textId="77777777" w:rsidR="00591638" w:rsidRDefault="00796DDB">
      <w:pPr>
        <w:ind w:left="101" w:right="496"/>
        <w:rPr>
          <w:rFonts w:ascii="Calibri"/>
          <w:b/>
          <w:sz w:val="19"/>
        </w:rPr>
      </w:pPr>
      <w:hyperlink w:anchor="_bookmark3" w:history="1">
        <w:r>
          <w:rPr>
            <w:rFonts w:ascii="Calibri"/>
            <w:b/>
            <w:color w:val="424242"/>
            <w:sz w:val="19"/>
          </w:rPr>
          <w:t>Annual</w:t>
        </w:r>
        <w:r>
          <w:rPr>
            <w:rFonts w:ascii="Calibri"/>
            <w:b/>
            <w:color w:val="424242"/>
            <w:spacing w:val="-7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aggregate</w:t>
        </w:r>
        <w:r>
          <w:rPr>
            <w:rFonts w:ascii="Calibri"/>
            <w:b/>
            <w:color w:val="424242"/>
            <w:spacing w:val="-5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exposure</w:t>
        </w:r>
        <w:r>
          <w:rPr>
            <w:rFonts w:ascii="Calibri"/>
            <w:b/>
            <w:color w:val="424242"/>
            <w:spacing w:val="-40"/>
            <w:sz w:val="19"/>
          </w:rPr>
          <w:t xml:space="preserve"> </w:t>
        </w:r>
        <w:r>
          <w:rPr>
            <w:rFonts w:ascii="Calibri"/>
            <w:b/>
            <w:color w:val="424242"/>
            <w:sz w:val="19"/>
          </w:rPr>
          <w:t>reports</w:t>
        </w:r>
      </w:hyperlink>
    </w:p>
    <w:p w14:paraId="42402F17" w14:textId="77777777" w:rsidR="00591638" w:rsidRDefault="00591638">
      <w:pPr>
        <w:pStyle w:val="BodyText"/>
        <w:spacing w:before="6"/>
        <w:rPr>
          <w:rFonts w:ascii="Calibri"/>
          <w:b/>
          <w:sz w:val="16"/>
        </w:rPr>
      </w:pPr>
    </w:p>
    <w:p w14:paraId="42402F18" w14:textId="77777777" w:rsidR="00591638" w:rsidRDefault="00796DDB">
      <w:pPr>
        <w:ind w:left="101"/>
        <w:rPr>
          <w:rFonts w:ascii="Calibri"/>
          <w:b/>
          <w:sz w:val="19"/>
        </w:rPr>
      </w:pPr>
      <w:hyperlink w:anchor="_bookmark3" w:history="1">
        <w:r>
          <w:rPr>
            <w:rFonts w:ascii="Calibri"/>
            <w:b/>
            <w:color w:val="424242"/>
            <w:sz w:val="19"/>
          </w:rPr>
          <w:t>Q&amp;A</w:t>
        </w:r>
      </w:hyperlink>
    </w:p>
    <w:p w14:paraId="42402F19" w14:textId="77777777" w:rsidR="00591638" w:rsidRDefault="00796DDB">
      <w:pPr>
        <w:rPr>
          <w:rFonts w:ascii="Calibri"/>
          <w:b/>
        </w:rPr>
      </w:pPr>
      <w:r>
        <w:br w:type="column"/>
      </w:r>
    </w:p>
    <w:p w14:paraId="42402F1A" w14:textId="77777777" w:rsidR="00591638" w:rsidRDefault="00591638">
      <w:pPr>
        <w:pStyle w:val="BodyText"/>
        <w:rPr>
          <w:rFonts w:ascii="Calibri"/>
          <w:b/>
          <w:sz w:val="22"/>
        </w:rPr>
      </w:pPr>
    </w:p>
    <w:p w14:paraId="42402F1B" w14:textId="77777777" w:rsidR="00591638" w:rsidRDefault="00591638">
      <w:pPr>
        <w:pStyle w:val="BodyText"/>
        <w:spacing w:before="2"/>
        <w:rPr>
          <w:rFonts w:ascii="Calibri"/>
          <w:b/>
          <w:sz w:val="18"/>
        </w:rPr>
      </w:pPr>
    </w:p>
    <w:p w14:paraId="42402F1C" w14:textId="77777777" w:rsidR="00591638" w:rsidRDefault="00796DDB">
      <w:pPr>
        <w:spacing w:before="1"/>
        <w:ind w:left="1743"/>
        <w:rPr>
          <w:rFonts w:ascii="Calibri"/>
        </w:rPr>
      </w:pPr>
      <w:r>
        <w:rPr>
          <w:rFonts w:ascii="Calibri"/>
          <w:color w:val="174B8D"/>
        </w:rPr>
        <w:t>Welcome to</w:t>
      </w:r>
      <w:r>
        <w:rPr>
          <w:rFonts w:ascii="Calibri"/>
          <w:color w:val="174B8D"/>
          <w:spacing w:val="-1"/>
        </w:rPr>
        <w:t xml:space="preserve"> </w:t>
      </w:r>
      <w:r>
        <w:rPr>
          <w:rFonts w:ascii="Calibri"/>
          <w:color w:val="174B8D"/>
        </w:rPr>
        <w:t>the</w:t>
      </w:r>
      <w:r>
        <w:rPr>
          <w:rFonts w:ascii="Calibri"/>
          <w:color w:val="174B8D"/>
          <w:spacing w:val="-2"/>
        </w:rPr>
        <w:t xml:space="preserve"> </w:t>
      </w:r>
      <w:r>
        <w:rPr>
          <w:rFonts w:ascii="Calibri"/>
          <w:color w:val="174B8D"/>
        </w:rPr>
        <w:t>Winter</w:t>
      </w:r>
      <w:r>
        <w:rPr>
          <w:rFonts w:ascii="Calibri"/>
          <w:color w:val="174B8D"/>
          <w:spacing w:val="-2"/>
        </w:rPr>
        <w:t xml:space="preserve"> </w:t>
      </w:r>
      <w:r>
        <w:rPr>
          <w:rFonts w:ascii="Calibri"/>
          <w:color w:val="174B8D"/>
        </w:rPr>
        <w:t>edition</w:t>
      </w:r>
      <w:r>
        <w:rPr>
          <w:rFonts w:ascii="Calibri"/>
          <w:color w:val="174B8D"/>
          <w:spacing w:val="-3"/>
        </w:rPr>
        <w:t xml:space="preserve"> </w:t>
      </w:r>
      <w:r>
        <w:rPr>
          <w:rFonts w:ascii="Calibri"/>
          <w:color w:val="174B8D"/>
        </w:rPr>
        <w:t>of</w:t>
      </w:r>
      <w:r>
        <w:rPr>
          <w:rFonts w:ascii="Calibri"/>
          <w:color w:val="174B8D"/>
          <w:spacing w:val="-3"/>
        </w:rPr>
        <w:t xml:space="preserve"> </w:t>
      </w:r>
      <w:r>
        <w:rPr>
          <w:rFonts w:ascii="Calibri"/>
          <w:color w:val="174B8D"/>
        </w:rPr>
        <w:t>our newsletter.</w:t>
      </w:r>
    </w:p>
    <w:p w14:paraId="42402F1D" w14:textId="77777777" w:rsidR="00591638" w:rsidRDefault="00591638">
      <w:pPr>
        <w:pStyle w:val="BodyText"/>
        <w:spacing w:before="10"/>
        <w:rPr>
          <w:rFonts w:ascii="Calibri"/>
        </w:rPr>
      </w:pPr>
    </w:p>
    <w:p w14:paraId="42402F1E" w14:textId="77777777" w:rsidR="00591638" w:rsidRDefault="00796DDB">
      <w:pPr>
        <w:pStyle w:val="BodyText"/>
        <w:spacing w:line="288" w:lineRule="auto"/>
        <w:ind w:left="101" w:right="244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pleased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ARPC’s</w:t>
      </w:r>
      <w:r>
        <w:rPr>
          <w:spacing w:val="-1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newsletter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2021. I</w:t>
      </w:r>
      <w:r>
        <w:rPr>
          <w:spacing w:val="-3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keeping</w:t>
      </w:r>
      <w:r>
        <w:rPr>
          <w:spacing w:val="-4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 these</w:t>
      </w:r>
      <w:r>
        <w:rPr>
          <w:spacing w:val="-1"/>
        </w:rPr>
        <w:t xml:space="preserve"> </w:t>
      </w:r>
      <w:r>
        <w:t>uncertain times.</w:t>
      </w:r>
    </w:p>
    <w:p w14:paraId="42402F1F" w14:textId="77777777" w:rsidR="00591638" w:rsidRDefault="00796DDB">
      <w:pPr>
        <w:pStyle w:val="BodyText"/>
        <w:spacing w:before="180" w:line="288" w:lineRule="auto"/>
        <w:ind w:left="101" w:right="159"/>
      </w:pPr>
      <w:r>
        <w:t>ARPC has received positive feedback from respondents to our first insurer customer</w:t>
      </w:r>
      <w:r>
        <w:rPr>
          <w:spacing w:val="1"/>
        </w:rPr>
        <w:t xml:space="preserve"> </w:t>
      </w:r>
      <w:r>
        <w:t>survey, conducted by ORIMA Research in November and December 2020. I would like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survey.</w:t>
      </w:r>
      <w:r>
        <w:rPr>
          <w:spacing w:val="-3"/>
        </w:rPr>
        <w:t xml:space="preserve"> </w:t>
      </w:r>
      <w:r>
        <w:t>ARPC</w:t>
      </w:r>
      <w:r>
        <w:rPr>
          <w:spacing w:val="-4"/>
        </w:rPr>
        <w:t xml:space="preserve"> </w:t>
      </w:r>
      <w:r>
        <w:t>is looking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experiences.</w:t>
      </w:r>
    </w:p>
    <w:p w14:paraId="42402F20" w14:textId="77777777" w:rsidR="00591638" w:rsidRDefault="00796DDB">
      <w:pPr>
        <w:pStyle w:val="BodyText"/>
        <w:spacing w:before="179" w:line="288" w:lineRule="auto"/>
        <w:ind w:left="101" w:right="159"/>
      </w:pPr>
      <w:r>
        <w:t>I am pleased to welcome the Government’s reappointment of Elaine Collins as a</w:t>
      </w:r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three-year</w:t>
      </w:r>
      <w:r>
        <w:rPr>
          <w:spacing w:val="-1"/>
        </w:rPr>
        <w:t xml:space="preserve"> </w:t>
      </w:r>
      <w:r>
        <w:t>term,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Jan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Schalk</w:t>
      </w:r>
      <w:r>
        <w:rPr>
          <w:spacing w:val="-42"/>
        </w:rPr>
        <w:t xml:space="preserve"> </w:t>
      </w:r>
      <w:r>
        <w:t>as a Member. Jan brings deep experience in reinsurance and investment management</w:t>
      </w:r>
      <w:r>
        <w:rPr>
          <w:spacing w:val="-43"/>
        </w:rPr>
        <w:t xml:space="preserve"> </w:t>
      </w:r>
      <w:r>
        <w:t>and we look f</w:t>
      </w:r>
      <w:r>
        <w:t>orward to working with him and continuing to work with Elaine Collins.</w:t>
      </w:r>
      <w:r>
        <w:rPr>
          <w:spacing w:val="1"/>
        </w:rPr>
        <w:t xml:space="preserve"> </w:t>
      </w:r>
      <w:r>
        <w:t>We extend our thanks and appreciation to Members Janet Torney and John Peberdy</w:t>
      </w:r>
      <w:r>
        <w:rPr>
          <w:spacing w:val="1"/>
        </w:rPr>
        <w:t xml:space="preserve"> </w:t>
      </w:r>
      <w:r>
        <w:t>whose terms</w:t>
      </w:r>
      <w:r>
        <w:rPr>
          <w:spacing w:val="-3"/>
        </w:rPr>
        <w:t xml:space="preserve"> </w:t>
      </w:r>
      <w:r>
        <w:t>expired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miss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organisation.</w:t>
      </w:r>
    </w:p>
    <w:p w14:paraId="42402F21" w14:textId="77777777" w:rsidR="00591638" w:rsidRDefault="00591638">
      <w:pPr>
        <w:pStyle w:val="BodyText"/>
        <w:spacing w:before="10"/>
        <w:rPr>
          <w:sz w:val="14"/>
        </w:rPr>
      </w:pPr>
    </w:p>
    <w:p w14:paraId="42402F22" w14:textId="77777777" w:rsidR="00591638" w:rsidRDefault="00796DDB">
      <w:pPr>
        <w:pStyle w:val="BodyText"/>
        <w:spacing w:before="1" w:line="288" w:lineRule="auto"/>
        <w:ind w:left="101" w:right="244"/>
      </w:pPr>
      <w:r>
        <w:t>ARPC has responded to the Government’s 4 May announcement on a cyclone</w:t>
      </w:r>
      <w:r>
        <w:rPr>
          <w:spacing w:val="1"/>
        </w:rPr>
        <w:t xml:space="preserve"> </w:t>
      </w:r>
      <w:r>
        <w:t>reinsurance pool for cyclones and related flood damage. Two ARPC employees have</w:t>
      </w:r>
      <w:r>
        <w:rPr>
          <w:spacing w:val="-43"/>
        </w:rPr>
        <w:t xml:space="preserve"> </w:t>
      </w:r>
      <w:r>
        <w:t>been seconded to Treasury’s Cyclone Reinsurance Pool Taskforce which will finalise</w:t>
      </w:r>
      <w:r>
        <w:rPr>
          <w:spacing w:val="1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de</w:t>
      </w:r>
      <w:r>
        <w:t>sign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consulting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representatives and</w:t>
      </w:r>
      <w:r>
        <w:rPr>
          <w:spacing w:val="-4"/>
        </w:rPr>
        <w:t xml:space="preserve"> </w:t>
      </w:r>
      <w:r>
        <w:t>other</w:t>
      </w:r>
      <w:r>
        <w:rPr>
          <w:spacing w:val="-42"/>
        </w:rPr>
        <w:t xml:space="preserve"> </w:t>
      </w:r>
      <w:r>
        <w:t>stakeholders.</w:t>
      </w:r>
    </w:p>
    <w:p w14:paraId="42402F23" w14:textId="77777777" w:rsidR="00591638" w:rsidRDefault="00796DDB">
      <w:pPr>
        <w:pStyle w:val="BodyText"/>
        <w:spacing w:before="179" w:line="288" w:lineRule="auto"/>
        <w:ind w:left="101" w:right="249"/>
      </w:pPr>
      <w:r>
        <w:t>In the final pages of this newsletter, you will find all information regarding reports and</w:t>
      </w:r>
      <w:r>
        <w:rPr>
          <w:spacing w:val="-43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due for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end.</w:t>
      </w:r>
    </w:p>
    <w:p w14:paraId="42402F24" w14:textId="77777777" w:rsidR="00591638" w:rsidRDefault="00591638">
      <w:pPr>
        <w:pStyle w:val="BodyText"/>
        <w:spacing w:before="9"/>
        <w:rPr>
          <w:sz w:val="14"/>
        </w:rPr>
      </w:pPr>
    </w:p>
    <w:p w14:paraId="42402F25" w14:textId="77777777" w:rsidR="00591638" w:rsidRDefault="00796DDB">
      <w:pPr>
        <w:pStyle w:val="BodyText"/>
        <w:spacing w:line="288" w:lineRule="auto"/>
        <w:ind w:left="101" w:right="249"/>
      </w:pP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hesitate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ARPC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8">
        <w:r>
          <w:rPr>
            <w:color w:val="131212"/>
            <w:u w:val="single" w:color="131212"/>
          </w:rPr>
          <w:t>enquiries@arpc.gov.au</w:t>
        </w:r>
        <w:r>
          <w:rPr>
            <w:color w:val="131212"/>
            <w:spacing w:val="-1"/>
          </w:rPr>
          <w:t xml:space="preserve"> </w:t>
        </w:r>
      </w:hyperlink>
      <w:r>
        <w:t>should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queries regarding due dates or submissions. Our Insurance Audit team are happy to</w:t>
      </w:r>
      <w:r>
        <w:rPr>
          <w:spacing w:val="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you.</w:t>
      </w:r>
    </w:p>
    <w:p w14:paraId="42402F26" w14:textId="77777777" w:rsidR="00591638" w:rsidRDefault="00591638">
      <w:pPr>
        <w:spacing w:line="288" w:lineRule="auto"/>
        <w:sectPr w:rsidR="00591638">
          <w:type w:val="continuous"/>
          <w:pgSz w:w="11900" w:h="16850"/>
          <w:pgMar w:top="1600" w:right="360" w:bottom="280" w:left="820" w:header="720" w:footer="720" w:gutter="0"/>
          <w:cols w:num="2" w:space="720" w:equalWidth="0">
            <w:col w:w="2763" w:space="678"/>
            <w:col w:w="7279"/>
          </w:cols>
        </w:sectPr>
      </w:pPr>
    </w:p>
    <w:p w14:paraId="42402F27" w14:textId="77777777" w:rsidR="00591638" w:rsidRDefault="00591638">
      <w:pPr>
        <w:pStyle w:val="BodyText"/>
        <w:spacing w:before="9"/>
        <w:rPr>
          <w:sz w:val="18"/>
        </w:rPr>
      </w:pPr>
    </w:p>
    <w:p w14:paraId="42402F28" w14:textId="77777777" w:rsidR="00591638" w:rsidRDefault="00591638">
      <w:pPr>
        <w:rPr>
          <w:sz w:val="18"/>
        </w:rPr>
        <w:sectPr w:rsidR="00591638">
          <w:headerReference w:type="default" r:id="rId9"/>
          <w:pgSz w:w="11910" w:h="16840"/>
          <w:pgMar w:top="1760" w:right="980" w:bottom="280" w:left="820" w:header="916" w:footer="0" w:gutter="0"/>
          <w:cols w:space="720"/>
        </w:sectPr>
      </w:pPr>
    </w:p>
    <w:p w14:paraId="42402F29" w14:textId="77777777" w:rsidR="00591638" w:rsidRDefault="00796DDB">
      <w:pPr>
        <w:pStyle w:val="Heading1"/>
        <w:spacing w:before="57"/>
      </w:pPr>
      <w:bookmarkStart w:id="0" w:name="_bookmark0"/>
      <w:bookmarkEnd w:id="0"/>
      <w:r>
        <w:rPr>
          <w:color w:val="093067"/>
        </w:rPr>
        <w:t>ARPC’s</w:t>
      </w:r>
      <w:r>
        <w:rPr>
          <w:color w:val="093067"/>
          <w:spacing w:val="-2"/>
        </w:rPr>
        <w:t xml:space="preserve"> </w:t>
      </w:r>
      <w:r>
        <w:rPr>
          <w:color w:val="093067"/>
        </w:rPr>
        <w:t>customer</w:t>
      </w:r>
      <w:r>
        <w:rPr>
          <w:color w:val="093067"/>
          <w:spacing w:val="-2"/>
        </w:rPr>
        <w:t xml:space="preserve"> </w:t>
      </w:r>
      <w:r>
        <w:rPr>
          <w:color w:val="093067"/>
        </w:rPr>
        <w:t>survey</w:t>
      </w:r>
      <w:r>
        <w:rPr>
          <w:color w:val="093067"/>
          <w:spacing w:val="-6"/>
        </w:rPr>
        <w:t xml:space="preserve"> </w:t>
      </w:r>
      <w:r>
        <w:rPr>
          <w:color w:val="093067"/>
        </w:rPr>
        <w:t>results</w:t>
      </w:r>
    </w:p>
    <w:p w14:paraId="42402F2A" w14:textId="77777777" w:rsidR="00591638" w:rsidRDefault="00796DDB">
      <w:pPr>
        <w:pStyle w:val="BodyText"/>
        <w:spacing w:before="122"/>
        <w:ind w:left="312"/>
      </w:pPr>
      <w:r>
        <w:t>ARPC has released the results of our first survey of</w:t>
      </w:r>
      <w:r>
        <w:rPr>
          <w:spacing w:val="-43"/>
        </w:rPr>
        <w:t xml:space="preserve"> </w:t>
      </w:r>
      <w:r>
        <w:t>insurer</w:t>
      </w:r>
      <w:r>
        <w:rPr>
          <w:spacing w:val="-4"/>
        </w:rPr>
        <w:t xml:space="preserve"> </w:t>
      </w:r>
      <w:r>
        <w:t>customers,</w:t>
      </w:r>
      <w:r>
        <w:rPr>
          <w:spacing w:val="-5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ORIMA</w:t>
      </w:r>
      <w:r>
        <w:rPr>
          <w:spacing w:val="-5"/>
        </w:rPr>
        <w:t xml:space="preserve"> </w:t>
      </w:r>
      <w:r>
        <w:t>Research.</w:t>
      </w:r>
    </w:p>
    <w:p w14:paraId="42402F2B" w14:textId="77777777" w:rsidR="00591638" w:rsidRDefault="00796DDB">
      <w:pPr>
        <w:pStyle w:val="BodyText"/>
        <w:spacing w:before="121" w:line="273" w:lineRule="auto"/>
        <w:ind w:left="312"/>
      </w:pPr>
      <w:r>
        <w:t>Overall,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ARPC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largely</w:t>
      </w:r>
      <w:r>
        <w:rPr>
          <w:spacing w:val="-42"/>
        </w:rPr>
        <w:t xml:space="preserve"> </w:t>
      </w:r>
      <w:r>
        <w:t>delivering on its vision, is a valuable and important</w:t>
      </w:r>
      <w:r>
        <w:rPr>
          <w:spacing w:val="1"/>
        </w:rPr>
        <w:t xml:space="preserve"> </w:t>
      </w:r>
      <w:r>
        <w:t>partner, a trusted expert and is communicating and</w:t>
      </w:r>
      <w:r>
        <w:rPr>
          <w:spacing w:val="1"/>
        </w:rPr>
        <w:t xml:space="preserve"> </w:t>
      </w:r>
      <w:r>
        <w:t>engaging</w:t>
      </w:r>
      <w:r>
        <w:rPr>
          <w:spacing w:val="-1"/>
        </w:rPr>
        <w:t xml:space="preserve"> </w:t>
      </w:r>
      <w:r>
        <w:t>well.</w:t>
      </w:r>
    </w:p>
    <w:p w14:paraId="42402F2C" w14:textId="77777777" w:rsidR="00591638" w:rsidRDefault="00591638">
      <w:pPr>
        <w:pStyle w:val="BodyText"/>
        <w:spacing w:before="12"/>
        <w:rPr>
          <w:sz w:val="14"/>
        </w:rPr>
      </w:pPr>
    </w:p>
    <w:p w14:paraId="42402F2D" w14:textId="77777777" w:rsidR="00591638" w:rsidRDefault="00796DDB">
      <w:pPr>
        <w:pStyle w:val="BodyText"/>
        <w:spacing w:line="273" w:lineRule="auto"/>
        <w:ind w:left="312" w:right="78"/>
      </w:pPr>
      <w:r>
        <w:t>In ARPC’s 2020-24 Corporate Plan, ARPC said it would</w:t>
      </w:r>
      <w:r>
        <w:rPr>
          <w:spacing w:val="-4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survey</w:t>
      </w:r>
      <w:r>
        <w:rPr>
          <w:spacing w:val="-43"/>
        </w:rPr>
        <w:t xml:space="preserve"> </w:t>
      </w:r>
      <w:r>
        <w:t>to set a baseline for measuring</w:t>
      </w:r>
      <w:r>
        <w:t xml:space="preserve"> effectiveness while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outcomes.</w:t>
      </w:r>
    </w:p>
    <w:p w14:paraId="42402F2E" w14:textId="77777777" w:rsidR="00591638" w:rsidRDefault="00796DDB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487401984" behindDoc="0" locked="0" layoutInCell="1" allowOverlap="1" wp14:anchorId="42402FE6" wp14:editId="42402FE7">
            <wp:simplePos x="0" y="0"/>
            <wp:positionH relativeFrom="page">
              <wp:posOffset>720090</wp:posOffset>
            </wp:positionH>
            <wp:positionV relativeFrom="paragraph">
              <wp:posOffset>113387</wp:posOffset>
            </wp:positionV>
            <wp:extent cx="2828648" cy="151790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648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02F2F" w14:textId="77777777" w:rsidR="00591638" w:rsidRDefault="00591638">
      <w:pPr>
        <w:pStyle w:val="BodyText"/>
        <w:spacing w:before="8"/>
        <w:rPr>
          <w:sz w:val="18"/>
        </w:rPr>
      </w:pPr>
    </w:p>
    <w:p w14:paraId="42402F30" w14:textId="77777777" w:rsidR="00591638" w:rsidRDefault="00796DDB">
      <w:pPr>
        <w:pStyle w:val="BodyText"/>
        <w:ind w:left="312"/>
      </w:pPr>
      <w:r>
        <w:t>Conducted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ORIMA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December</w:t>
      </w:r>
    </w:p>
    <w:p w14:paraId="42402F31" w14:textId="77777777" w:rsidR="00591638" w:rsidRDefault="00796DDB">
      <w:pPr>
        <w:pStyle w:val="BodyText"/>
        <w:spacing w:before="34" w:line="276" w:lineRule="auto"/>
        <w:ind w:left="312" w:right="78"/>
      </w:pPr>
      <w:r>
        <w:t>2020, the short online survey was sent to ARPC’s 225</w:t>
      </w:r>
      <w:r>
        <w:rPr>
          <w:spacing w:val="1"/>
        </w:rPr>
        <w:t xml:space="preserve"> </w:t>
      </w:r>
      <w:r>
        <w:t>insurer</w:t>
      </w:r>
      <w:r>
        <w:rPr>
          <w:spacing w:val="-2"/>
        </w:rPr>
        <w:t xml:space="preserve"> </w:t>
      </w:r>
      <w:r>
        <w:t>customers,</w:t>
      </w:r>
      <w:r>
        <w:rPr>
          <w:spacing w:val="-4"/>
        </w:rPr>
        <w:t xml:space="preserve"> </w:t>
      </w:r>
      <w:r>
        <w:t>36 of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189</w:t>
      </w:r>
      <w:r>
        <w:rPr>
          <w:spacing w:val="-42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overseas.</w:t>
      </w:r>
    </w:p>
    <w:p w14:paraId="42402F32" w14:textId="77777777" w:rsidR="00591638" w:rsidRDefault="00796DDB">
      <w:pPr>
        <w:pStyle w:val="BodyText"/>
        <w:spacing w:before="176"/>
        <w:ind w:left="312"/>
      </w:pPr>
      <w:r>
        <w:t>The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guided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executive</w:t>
      </w:r>
    </w:p>
    <w:p w14:paraId="42402F33" w14:textId="77777777" w:rsidR="00591638" w:rsidRDefault="00796DDB">
      <w:pPr>
        <w:pStyle w:val="BodyText"/>
        <w:spacing w:before="34" w:line="273" w:lineRule="auto"/>
        <w:ind w:left="312"/>
      </w:pPr>
      <w:r>
        <w:t>workshop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‘Big</w:t>
      </w:r>
      <w:r>
        <w:rPr>
          <w:spacing w:val="-3"/>
        </w:rPr>
        <w:t xml:space="preserve"> </w:t>
      </w:r>
      <w:r>
        <w:t>questions’:</w:t>
      </w:r>
      <w:r>
        <w:rPr>
          <w:spacing w:val="-4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we delivering on our vision? What do our customers</w:t>
      </w:r>
      <w:r>
        <w:rPr>
          <w:spacing w:val="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us?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ARPC</w:t>
      </w:r>
      <w:r>
        <w:rPr>
          <w:spacing w:val="-4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money?</w:t>
      </w:r>
    </w:p>
    <w:p w14:paraId="42402F34" w14:textId="77777777" w:rsidR="00591638" w:rsidRDefault="00796DDB">
      <w:pPr>
        <w:pStyle w:val="BodyText"/>
        <w:spacing w:line="451" w:lineRule="auto"/>
        <w:ind w:left="312" w:right="324"/>
      </w:pPr>
      <w:r>
        <w:t>Does</w:t>
      </w:r>
      <w:r>
        <w:rPr>
          <w:spacing w:val="-7"/>
        </w:rPr>
        <w:t xml:space="preserve"> </w:t>
      </w:r>
      <w:r>
        <w:t>ARPC</w:t>
      </w:r>
      <w:r>
        <w:rPr>
          <w:spacing w:val="-6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stakeholders?</w:t>
      </w:r>
      <w:r>
        <w:rPr>
          <w:spacing w:val="-4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</w:t>
      </w:r>
      <w:r>
        <w:t>urvey</w:t>
      </w:r>
      <w:r>
        <w:rPr>
          <w:spacing w:val="-1"/>
        </w:rPr>
        <w:t xml:space="preserve"> </w:t>
      </w:r>
      <w:r>
        <w:t>findings</w:t>
      </w:r>
      <w:r>
        <w:rPr>
          <w:spacing w:val="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that:</w:t>
      </w:r>
    </w:p>
    <w:p w14:paraId="42402F35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185" w:lineRule="exact"/>
        <w:ind w:hanging="362"/>
        <w:rPr>
          <w:sz w:val="20"/>
        </w:rPr>
      </w:pPr>
      <w:r>
        <w:rPr>
          <w:sz w:val="20"/>
        </w:rPr>
        <w:t>97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cent</w:t>
      </w:r>
      <w:r>
        <w:rPr>
          <w:spacing w:val="-3"/>
          <w:sz w:val="20"/>
        </w:rPr>
        <w:t xml:space="preserve"> </w:t>
      </w:r>
      <w:r>
        <w:rPr>
          <w:sz w:val="20"/>
        </w:rPr>
        <w:t>respondents</w:t>
      </w:r>
      <w:r>
        <w:rPr>
          <w:spacing w:val="-4"/>
          <w:sz w:val="20"/>
        </w:rPr>
        <w:t xml:space="preserve"> </w:t>
      </w:r>
      <w:r>
        <w:rPr>
          <w:sz w:val="20"/>
        </w:rPr>
        <w:t>overall</w:t>
      </w:r>
      <w:r>
        <w:rPr>
          <w:spacing w:val="-3"/>
          <w:sz w:val="20"/>
        </w:rPr>
        <w:t xml:space="preserve"> </w:t>
      </w:r>
      <w:r>
        <w:rPr>
          <w:sz w:val="20"/>
        </w:rPr>
        <w:t>(Australia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42402F36" w14:textId="77777777" w:rsidR="00591638" w:rsidRDefault="00796DDB">
      <w:pPr>
        <w:pStyle w:val="BodyText"/>
        <w:spacing w:before="35" w:line="273" w:lineRule="auto"/>
        <w:ind w:left="673"/>
      </w:pPr>
      <w:r>
        <w:t>overseas)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ARPC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terrorism</w:t>
      </w:r>
      <w:r>
        <w:rPr>
          <w:spacing w:val="-1"/>
        </w:rPr>
        <w:t xml:space="preserve"> </w:t>
      </w:r>
      <w:r>
        <w:t>risk insurance</w:t>
      </w:r>
    </w:p>
    <w:p w14:paraId="42402F37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20" w:line="273" w:lineRule="auto"/>
        <w:ind w:right="503"/>
        <w:rPr>
          <w:sz w:val="20"/>
        </w:rPr>
      </w:pPr>
      <w:r>
        <w:rPr>
          <w:sz w:val="20"/>
        </w:rPr>
        <w:t>98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cent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ARPC</w:t>
      </w:r>
      <w:r>
        <w:rPr>
          <w:spacing w:val="-4"/>
          <w:sz w:val="20"/>
        </w:rPr>
        <w:t xml:space="preserve"> </w:t>
      </w:r>
      <w:r>
        <w:rPr>
          <w:sz w:val="20"/>
        </w:rPr>
        <w:t>is a</w:t>
      </w:r>
      <w:r>
        <w:rPr>
          <w:spacing w:val="-2"/>
          <w:sz w:val="20"/>
        </w:rPr>
        <w:t xml:space="preserve"> </w:t>
      </w:r>
      <w:r>
        <w:rPr>
          <w:sz w:val="20"/>
        </w:rPr>
        <w:t>trusted</w:t>
      </w:r>
      <w:r>
        <w:rPr>
          <w:spacing w:val="-3"/>
          <w:sz w:val="20"/>
        </w:rPr>
        <w:t xml:space="preserve"> </w:t>
      </w:r>
      <w:r>
        <w:rPr>
          <w:sz w:val="20"/>
        </w:rPr>
        <w:t>expert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2"/>
          <w:sz w:val="20"/>
        </w:rPr>
        <w:t xml:space="preserve"> </w:t>
      </w:r>
      <w:r>
        <w:rPr>
          <w:sz w:val="20"/>
        </w:rPr>
        <w:t>terrorism</w:t>
      </w:r>
      <w:r>
        <w:rPr>
          <w:spacing w:val="-1"/>
          <w:sz w:val="20"/>
        </w:rPr>
        <w:t xml:space="preserve"> </w:t>
      </w:r>
      <w:r>
        <w:rPr>
          <w:sz w:val="20"/>
        </w:rPr>
        <w:t>reinsurance</w:t>
      </w:r>
    </w:p>
    <w:p w14:paraId="42402F38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21" w:line="273" w:lineRule="auto"/>
        <w:ind w:right="89"/>
        <w:rPr>
          <w:sz w:val="20"/>
        </w:rPr>
      </w:pPr>
      <w:r>
        <w:rPr>
          <w:sz w:val="20"/>
        </w:rPr>
        <w:t>96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cent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1"/>
          <w:sz w:val="20"/>
        </w:rPr>
        <w:t xml:space="preserve"> </w:t>
      </w:r>
      <w:r>
        <w:rPr>
          <w:sz w:val="20"/>
        </w:rPr>
        <w:t>ARPC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easy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deal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89</w:t>
      </w:r>
      <w:r>
        <w:rPr>
          <w:spacing w:val="-4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cent</w:t>
      </w:r>
      <w:r>
        <w:rPr>
          <w:spacing w:val="-1"/>
          <w:sz w:val="20"/>
        </w:rPr>
        <w:t xml:space="preserve"> </w:t>
      </w:r>
      <w:r>
        <w:rPr>
          <w:sz w:val="20"/>
        </w:rPr>
        <w:t>said</w:t>
      </w:r>
      <w:r>
        <w:rPr>
          <w:spacing w:val="-1"/>
          <w:sz w:val="20"/>
        </w:rPr>
        <w:t xml:space="preserve"> </w:t>
      </w:r>
      <w:r>
        <w:rPr>
          <w:sz w:val="20"/>
        </w:rPr>
        <w:t>ARPC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transparent</w:t>
      </w:r>
    </w:p>
    <w:p w14:paraId="42402F39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22" w:line="273" w:lineRule="auto"/>
        <w:ind w:right="204"/>
        <w:rPr>
          <w:sz w:val="20"/>
        </w:rPr>
      </w:pPr>
      <w:r>
        <w:rPr>
          <w:sz w:val="20"/>
        </w:rPr>
        <w:t>Respondents strongly rated ARPC’s publications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digital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communications,</w:t>
      </w:r>
      <w:r>
        <w:rPr>
          <w:spacing w:val="-42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1"/>
          <w:sz w:val="20"/>
        </w:rPr>
        <w:t xml:space="preserve"> </w:t>
      </w:r>
      <w:r>
        <w:rPr>
          <w:sz w:val="20"/>
        </w:rPr>
        <w:t>Australian</w:t>
      </w:r>
      <w:r>
        <w:rPr>
          <w:spacing w:val="-2"/>
          <w:sz w:val="20"/>
        </w:rPr>
        <w:t xml:space="preserve"> </w:t>
      </w:r>
      <w:r>
        <w:rPr>
          <w:sz w:val="20"/>
        </w:rPr>
        <w:t>respondents</w:t>
      </w:r>
    </w:p>
    <w:p w14:paraId="42402F3A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20" w:line="273" w:lineRule="auto"/>
        <w:ind w:right="504"/>
        <w:rPr>
          <w:sz w:val="20"/>
        </w:rPr>
      </w:pP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cent</w:t>
      </w:r>
      <w:r>
        <w:rPr>
          <w:spacing w:val="-4"/>
          <w:sz w:val="20"/>
        </w:rPr>
        <w:t xml:space="preserve"> </w:t>
      </w:r>
      <w:r>
        <w:rPr>
          <w:sz w:val="20"/>
        </w:rPr>
        <w:t>found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ARPC</w:t>
      </w:r>
      <w:r>
        <w:rPr>
          <w:spacing w:val="-5"/>
          <w:sz w:val="20"/>
        </w:rPr>
        <w:t xml:space="preserve"> </w:t>
      </w:r>
      <w:r>
        <w:rPr>
          <w:sz w:val="20"/>
        </w:rPr>
        <w:t>insurer</w:t>
      </w:r>
      <w:r>
        <w:rPr>
          <w:spacing w:val="-2"/>
          <w:sz w:val="20"/>
        </w:rPr>
        <w:t xml:space="preserve"> </w:t>
      </w:r>
      <w:r>
        <w:rPr>
          <w:sz w:val="20"/>
        </w:rPr>
        <w:t>customer</w:t>
      </w:r>
      <w:r>
        <w:rPr>
          <w:spacing w:val="-43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very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somewh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useful</w:t>
      </w:r>
    </w:p>
    <w:p w14:paraId="42402F3B" w14:textId="77777777" w:rsidR="00591638" w:rsidRDefault="00796DDB">
      <w:pPr>
        <w:pStyle w:val="BodyText"/>
        <w:spacing w:before="59" w:line="273" w:lineRule="auto"/>
        <w:ind w:left="312"/>
      </w:pPr>
      <w:r>
        <w:br w:type="column"/>
      </w:r>
      <w:r>
        <w:t>Despite the strong overall results, the survey revealed</w:t>
      </w:r>
      <w:r>
        <w:rPr>
          <w:spacing w:val="1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t>(who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cent</w:t>
      </w:r>
      <w:r>
        <w:rPr>
          <w:spacing w:val="-4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ARPC’s premium income) are more engaged with ARPC</w:t>
      </w:r>
      <w:r>
        <w:rPr>
          <w:spacing w:val="-43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overseas</w:t>
      </w:r>
      <w:r>
        <w:rPr>
          <w:spacing w:val="-1"/>
        </w:rPr>
        <w:t xml:space="preserve"> </w:t>
      </w:r>
      <w:r>
        <w:t>respondents.</w:t>
      </w:r>
    </w:p>
    <w:p w14:paraId="42402F3C" w14:textId="77777777" w:rsidR="00591638" w:rsidRDefault="00591638">
      <w:pPr>
        <w:pStyle w:val="BodyText"/>
        <w:spacing w:before="11"/>
        <w:rPr>
          <w:sz w:val="14"/>
        </w:rPr>
      </w:pPr>
    </w:p>
    <w:p w14:paraId="42402F3D" w14:textId="77777777" w:rsidR="00591638" w:rsidRDefault="00796DDB">
      <w:pPr>
        <w:pStyle w:val="BodyText"/>
        <w:spacing w:before="1" w:line="273" w:lineRule="auto"/>
        <w:ind w:left="312" w:right="162"/>
      </w:pPr>
      <w:r>
        <w:t>Some Australian respondents said they would welcome</w:t>
      </w:r>
      <w:r>
        <w:rPr>
          <w:spacing w:val="-43"/>
        </w:rPr>
        <w:t xml:space="preserve"> </w:t>
      </w:r>
      <w:r>
        <w:t>more discussion and contact outside of insurer</w:t>
      </w:r>
      <w:r>
        <w:rPr>
          <w:spacing w:val="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(audits).</w:t>
      </w:r>
    </w:p>
    <w:p w14:paraId="42402F3E" w14:textId="77777777" w:rsidR="00591638" w:rsidRDefault="00591638">
      <w:pPr>
        <w:pStyle w:val="BodyText"/>
        <w:spacing w:before="9"/>
        <w:rPr>
          <w:sz w:val="14"/>
        </w:rPr>
      </w:pPr>
    </w:p>
    <w:p w14:paraId="42402F3F" w14:textId="77777777" w:rsidR="00591638" w:rsidRDefault="00796DDB">
      <w:pPr>
        <w:pStyle w:val="BodyText"/>
        <w:spacing w:line="273" w:lineRule="auto"/>
        <w:ind w:left="312" w:right="592"/>
      </w:pPr>
      <w:r>
        <w:t>ARPC CEO Dr Christopher Wallace said: “ARPC has</w:t>
      </w:r>
      <w:r>
        <w:rPr>
          <w:spacing w:val="-43"/>
        </w:rPr>
        <w:t xml:space="preserve"> </w:t>
      </w:r>
      <w:r>
        <w:t>committed to this annual survey of our insurer</w:t>
      </w:r>
      <w:r>
        <w:rPr>
          <w:spacing w:val="1"/>
        </w:rPr>
        <w:t xml:space="preserve"> </w:t>
      </w:r>
      <w:r>
        <w:t>customers so we can gauge feedback</w:t>
      </w:r>
      <w:r>
        <w:t xml:space="preserve"> and make</w:t>
      </w:r>
      <w:r>
        <w:rPr>
          <w:spacing w:val="1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benefit customers.</w:t>
      </w:r>
    </w:p>
    <w:p w14:paraId="42402F40" w14:textId="77777777" w:rsidR="00591638" w:rsidRDefault="00591638">
      <w:pPr>
        <w:pStyle w:val="BodyText"/>
        <w:rPr>
          <w:sz w:val="15"/>
        </w:rPr>
      </w:pPr>
    </w:p>
    <w:p w14:paraId="42402F41" w14:textId="77777777" w:rsidR="00591638" w:rsidRDefault="00796DDB">
      <w:pPr>
        <w:pStyle w:val="BodyText"/>
        <w:spacing w:line="273" w:lineRule="auto"/>
        <w:ind w:left="312" w:right="170"/>
        <w:jc w:val="both"/>
      </w:pPr>
      <w:r>
        <w:t>“ARPC would like to thank ARPC insurer customers for</w:t>
      </w:r>
      <w:r>
        <w:rPr>
          <w:spacing w:val="1"/>
        </w:rPr>
        <w:t xml:space="preserve"> </w:t>
      </w:r>
      <w:r>
        <w:t>their strong overall support of ARPC and looks forward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improvements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interests.”</w:t>
      </w:r>
    </w:p>
    <w:p w14:paraId="42402F42" w14:textId="77777777" w:rsidR="00591638" w:rsidRDefault="00591638">
      <w:pPr>
        <w:pStyle w:val="BodyText"/>
        <w:spacing w:before="9"/>
        <w:rPr>
          <w:sz w:val="14"/>
        </w:rPr>
      </w:pPr>
    </w:p>
    <w:p w14:paraId="42402F43" w14:textId="77777777" w:rsidR="00591638" w:rsidRDefault="00796DDB">
      <w:pPr>
        <w:pStyle w:val="BodyText"/>
        <w:spacing w:line="276" w:lineRule="auto"/>
        <w:ind w:left="312" w:right="173"/>
        <w:jc w:val="both"/>
      </w:pPr>
      <w:r>
        <w:rPr>
          <w:color w:val="002E64"/>
        </w:rPr>
        <w:t>The survey report, including ARPC’s actions in response</w:t>
      </w:r>
      <w:r>
        <w:rPr>
          <w:color w:val="002E64"/>
          <w:spacing w:val="-43"/>
        </w:rPr>
        <w:t xml:space="preserve"> </w:t>
      </w:r>
      <w:r>
        <w:rPr>
          <w:color w:val="002E64"/>
        </w:rPr>
        <w:t>to</w:t>
      </w:r>
      <w:r>
        <w:rPr>
          <w:color w:val="002E64"/>
          <w:spacing w:val="-3"/>
        </w:rPr>
        <w:t xml:space="preserve"> </w:t>
      </w:r>
      <w:r>
        <w:rPr>
          <w:color w:val="002E64"/>
        </w:rPr>
        <w:t>the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report</w:t>
      </w:r>
      <w:r>
        <w:rPr>
          <w:color w:val="002E64"/>
          <w:spacing w:val="-2"/>
        </w:rPr>
        <w:t xml:space="preserve"> </w:t>
      </w:r>
      <w:r>
        <w:rPr>
          <w:color w:val="002E64"/>
        </w:rPr>
        <w:t>are</w:t>
      </w:r>
      <w:r>
        <w:rPr>
          <w:color w:val="002E64"/>
          <w:spacing w:val="1"/>
        </w:rPr>
        <w:t xml:space="preserve"> </w:t>
      </w:r>
      <w:r>
        <w:rPr>
          <w:color w:val="002E64"/>
        </w:rPr>
        <w:t>published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on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the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ARPC</w:t>
      </w:r>
      <w:r>
        <w:rPr>
          <w:color w:val="002E64"/>
          <w:spacing w:val="-3"/>
        </w:rPr>
        <w:t xml:space="preserve"> </w:t>
      </w:r>
      <w:r>
        <w:rPr>
          <w:color w:val="002E64"/>
        </w:rPr>
        <w:t>website</w:t>
      </w:r>
      <w:r>
        <w:rPr>
          <w:color w:val="002E64"/>
          <w:spacing w:val="1"/>
        </w:rPr>
        <w:t xml:space="preserve"> </w:t>
      </w:r>
      <w:hyperlink r:id="rId11">
        <w:r>
          <w:rPr>
            <w:color w:val="002E64"/>
            <w:u w:val="single" w:color="002E64"/>
          </w:rPr>
          <w:t>here</w:t>
        </w:r>
        <w:r>
          <w:rPr>
            <w:color w:val="002E64"/>
          </w:rPr>
          <w:t>.</w:t>
        </w:r>
      </w:hyperlink>
    </w:p>
    <w:p w14:paraId="42402F44" w14:textId="77777777" w:rsidR="00591638" w:rsidRDefault="00796DDB">
      <w:pPr>
        <w:pStyle w:val="BodyText"/>
        <w:rPr>
          <w:sz w:val="27"/>
        </w:rPr>
      </w:pPr>
      <w:r>
        <w:pict w14:anchorId="42402FE8">
          <v:shape id="docshape1" o:spid="_x0000_s1045" style="position:absolute;margin-left:316.85pt;margin-top:17.7pt;width:225.75pt;height:.1pt;z-index:-15727616;mso-wrap-distance-left:0;mso-wrap-distance-right:0;mso-position-horizontal-relative:page" coordorigin="6337,354" coordsize="4515,0" path="m6337,354r4515,e" filled="f" strokecolor="#b9371b">
            <v:path arrowok="t"/>
            <w10:wrap type="topAndBottom" anchorx="page"/>
          </v:shape>
        </w:pict>
      </w:r>
    </w:p>
    <w:p w14:paraId="42402F45" w14:textId="77777777" w:rsidR="00591638" w:rsidRDefault="00591638">
      <w:pPr>
        <w:pStyle w:val="BodyText"/>
      </w:pPr>
    </w:p>
    <w:p w14:paraId="42402F46" w14:textId="77777777" w:rsidR="00591638" w:rsidRDefault="00796DDB">
      <w:pPr>
        <w:pStyle w:val="Heading1"/>
        <w:spacing w:before="164"/>
        <w:jc w:val="both"/>
      </w:pPr>
      <w:r>
        <w:rPr>
          <w:color w:val="093067"/>
        </w:rPr>
        <w:t>ARPC</w:t>
      </w:r>
      <w:r>
        <w:rPr>
          <w:color w:val="093067"/>
          <w:spacing w:val="-1"/>
        </w:rPr>
        <w:t xml:space="preserve"> </w:t>
      </w:r>
      <w:r>
        <w:rPr>
          <w:color w:val="093067"/>
        </w:rPr>
        <w:t>welcomes</w:t>
      </w:r>
      <w:r>
        <w:rPr>
          <w:color w:val="093067"/>
          <w:spacing w:val="-3"/>
        </w:rPr>
        <w:t xml:space="preserve"> </w:t>
      </w:r>
      <w:r>
        <w:rPr>
          <w:color w:val="093067"/>
        </w:rPr>
        <w:t>2021</w:t>
      </w:r>
      <w:r>
        <w:rPr>
          <w:color w:val="093067"/>
          <w:spacing w:val="-2"/>
        </w:rPr>
        <w:t xml:space="preserve"> </w:t>
      </w:r>
      <w:r>
        <w:rPr>
          <w:color w:val="093067"/>
        </w:rPr>
        <w:t>Triennial</w:t>
      </w:r>
      <w:r>
        <w:rPr>
          <w:color w:val="093067"/>
          <w:spacing w:val="-2"/>
        </w:rPr>
        <w:t xml:space="preserve"> </w:t>
      </w:r>
      <w:r>
        <w:rPr>
          <w:color w:val="093067"/>
        </w:rPr>
        <w:t>Review</w:t>
      </w:r>
    </w:p>
    <w:p w14:paraId="42402F47" w14:textId="77777777" w:rsidR="00591638" w:rsidRDefault="00796DDB">
      <w:pPr>
        <w:pStyle w:val="BodyText"/>
        <w:spacing w:before="201" w:line="273" w:lineRule="auto"/>
        <w:ind w:left="312" w:right="435"/>
      </w:pPr>
      <w:r>
        <w:t>Australian Reinsurance Pool Corporation (ARPC) has</w:t>
      </w:r>
      <w:r>
        <w:rPr>
          <w:spacing w:val="-44"/>
        </w:rPr>
        <w:t xml:space="preserve"> </w:t>
      </w:r>
      <w:r>
        <w:t>welcomed the terms of refe</w:t>
      </w:r>
      <w:r>
        <w:t>rence for the 2021</w:t>
      </w:r>
      <w:r>
        <w:rPr>
          <w:spacing w:val="1"/>
        </w:rPr>
        <w:t xml:space="preserve"> </w:t>
      </w:r>
      <w:r>
        <w:t>Triennial Review of the Terrorism Insurance Act</w:t>
      </w:r>
      <w:r>
        <w:rPr>
          <w:spacing w:val="1"/>
        </w:rPr>
        <w:t xml:space="preserve"> </w:t>
      </w:r>
      <w:r>
        <w:t>2003 (TI Act), which will be conducted by The</w:t>
      </w:r>
      <w:r>
        <w:rPr>
          <w:spacing w:val="1"/>
        </w:rPr>
        <w:t xml:space="preserve"> </w:t>
      </w:r>
      <w:r>
        <w:t>Treasury.</w:t>
      </w:r>
    </w:p>
    <w:p w14:paraId="42402F48" w14:textId="77777777" w:rsidR="00591638" w:rsidRDefault="00591638">
      <w:pPr>
        <w:pStyle w:val="BodyText"/>
        <w:spacing w:before="7"/>
        <w:rPr>
          <w:sz w:val="16"/>
        </w:rPr>
      </w:pPr>
    </w:p>
    <w:p w14:paraId="42402F49" w14:textId="77777777" w:rsidR="00591638" w:rsidRDefault="00796DDB">
      <w:pPr>
        <w:pStyle w:val="BodyText"/>
        <w:spacing w:line="273" w:lineRule="auto"/>
        <w:ind w:left="312" w:right="162"/>
      </w:pPr>
      <w:r>
        <w:t>The</w:t>
      </w:r>
      <w:r>
        <w:rPr>
          <w:spacing w:val="-4"/>
        </w:rPr>
        <w:t xml:space="preserve"> </w:t>
      </w:r>
      <w:r>
        <w:t>TI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2"/>
        </w:rPr>
        <w:t xml:space="preserve"> </w:t>
      </w:r>
      <w:r>
        <w:t>once every three years to test whether market failure</w:t>
      </w:r>
      <w:r>
        <w:rPr>
          <w:spacing w:val="1"/>
        </w:rPr>
        <w:t xml:space="preserve"> </w:t>
      </w:r>
      <w:r>
        <w:t>for terrorism insurance exists and therefore whether</w:t>
      </w:r>
      <w:r>
        <w:rPr>
          <w:spacing w:val="1"/>
        </w:rPr>
        <w:t xml:space="preserve"> </w:t>
      </w:r>
      <w:r>
        <w:t>the Act should continue. Previous reviews have also</w:t>
      </w:r>
      <w:r>
        <w:rPr>
          <w:spacing w:val="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 opportunity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scheme.</w:t>
      </w:r>
    </w:p>
    <w:p w14:paraId="42402F4A" w14:textId="77777777" w:rsidR="00591638" w:rsidRDefault="00591638">
      <w:pPr>
        <w:pStyle w:val="BodyText"/>
        <w:spacing w:before="6"/>
        <w:rPr>
          <w:sz w:val="16"/>
        </w:rPr>
      </w:pPr>
    </w:p>
    <w:p w14:paraId="42402F4B" w14:textId="77777777" w:rsidR="00591638" w:rsidRDefault="00796DDB">
      <w:pPr>
        <w:pStyle w:val="BodyText"/>
        <w:spacing w:before="1" w:line="273" w:lineRule="auto"/>
        <w:ind w:left="312" w:right="396"/>
      </w:pPr>
      <w:r>
        <w:t>“I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pleased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the 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</w:t>
      </w:r>
      <w:r>
        <w:t>ce</w:t>
      </w:r>
      <w:r>
        <w:rPr>
          <w:spacing w:val="-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 2021 Triennial Review of the scheme and look</w:t>
      </w:r>
      <w:r>
        <w:rPr>
          <w:spacing w:val="1"/>
        </w:rPr>
        <w:t xml:space="preserve"> </w:t>
      </w:r>
      <w:r>
        <w:t>forward to supporting The Treasury during the</w:t>
      </w:r>
      <w:r>
        <w:rPr>
          <w:spacing w:val="1"/>
        </w:rPr>
        <w:t xml:space="preserve"> </w:t>
      </w:r>
      <w:r>
        <w:t>Review,”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Christopher Wallace,</w:t>
      </w:r>
      <w:r>
        <w:rPr>
          <w:spacing w:val="-4"/>
        </w:rPr>
        <w:t xml:space="preserve"> </w:t>
      </w:r>
      <w:r>
        <w:t>ARPC</w:t>
      </w:r>
      <w:r>
        <w:rPr>
          <w:spacing w:val="-4"/>
        </w:rPr>
        <w:t xml:space="preserve"> </w:t>
      </w:r>
      <w:r>
        <w:t>CEO.</w:t>
      </w:r>
    </w:p>
    <w:p w14:paraId="42402F4C" w14:textId="77777777" w:rsidR="00591638" w:rsidRDefault="00591638">
      <w:pPr>
        <w:pStyle w:val="BodyText"/>
        <w:spacing w:before="6"/>
        <w:rPr>
          <w:sz w:val="16"/>
        </w:rPr>
      </w:pPr>
    </w:p>
    <w:p w14:paraId="42402F4D" w14:textId="77777777" w:rsidR="00591638" w:rsidRDefault="00796DDB">
      <w:pPr>
        <w:pStyle w:val="BodyText"/>
        <w:spacing w:line="273" w:lineRule="auto"/>
        <w:ind w:left="312" w:right="227"/>
      </w:pPr>
      <w:r>
        <w:t>“The Triennial Review is an important process for</w:t>
      </w:r>
      <w:r>
        <w:rPr>
          <w:spacing w:val="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ARPC</w:t>
      </w:r>
      <w:r>
        <w:rPr>
          <w:spacing w:val="-3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purpose,</w:t>
      </w:r>
      <w:r>
        <w:rPr>
          <w:spacing w:val="-5"/>
        </w:rPr>
        <w:t xml:space="preserve"> </w:t>
      </w:r>
      <w:r>
        <w:t>so I</w:t>
      </w:r>
      <w:r>
        <w:rPr>
          <w:spacing w:val="-3"/>
        </w:rPr>
        <w:t xml:space="preserve"> </w:t>
      </w:r>
      <w:r>
        <w:t>strongly</w:t>
      </w:r>
      <w:r>
        <w:rPr>
          <w:spacing w:val="-4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ARPC</w:t>
      </w:r>
      <w:r>
        <w:rPr>
          <w:spacing w:val="-2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submissions</w:t>
      </w:r>
    </w:p>
    <w:p w14:paraId="42402F4E" w14:textId="77777777" w:rsidR="00591638" w:rsidRDefault="00796DDB">
      <w:pPr>
        <w:pStyle w:val="BodyText"/>
        <w:spacing w:before="1"/>
        <w:ind w:left="312"/>
      </w:pP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Treasury</w:t>
      </w:r>
      <w:r>
        <w:rPr>
          <w:spacing w:val="-3"/>
        </w:rPr>
        <w:t xml:space="preserve"> </w:t>
      </w:r>
      <w:r>
        <w:t>process.”</w:t>
      </w:r>
    </w:p>
    <w:p w14:paraId="42402F4F" w14:textId="77777777" w:rsidR="00591638" w:rsidRDefault="00591638">
      <w:pPr>
        <w:pStyle w:val="BodyText"/>
        <w:spacing w:before="2"/>
        <w:rPr>
          <w:sz w:val="17"/>
        </w:rPr>
      </w:pPr>
    </w:p>
    <w:p w14:paraId="42402F50" w14:textId="7E2C70F6" w:rsidR="00591638" w:rsidRDefault="00796DDB">
      <w:pPr>
        <w:pStyle w:val="BodyText"/>
        <w:spacing w:before="1" w:line="270" w:lineRule="atLeast"/>
        <w:ind w:left="312"/>
      </w:pP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Triennial</w:t>
      </w:r>
      <w:r>
        <w:rPr>
          <w:spacing w:val="-6"/>
        </w:rPr>
        <w:t xml:space="preserve"> </w:t>
      </w:r>
      <w:r>
        <w:t>Review</w:t>
      </w:r>
      <w:r>
        <w:rPr>
          <w:spacing w:val="-42"/>
        </w:rPr>
        <w:t xml:space="preserve"> </w:t>
      </w:r>
      <w:r>
        <w:t>comprise:</w:t>
      </w:r>
    </w:p>
    <w:p w14:paraId="09F6815C" w14:textId="77777777" w:rsidR="00796DDB" w:rsidRDefault="00796DDB">
      <w:pPr>
        <w:pStyle w:val="BodyText"/>
        <w:spacing w:before="1" w:line="270" w:lineRule="atLeast"/>
        <w:ind w:left="312"/>
      </w:pPr>
    </w:p>
    <w:p w14:paraId="42402F51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210" w:lineRule="exact"/>
        <w:ind w:hanging="362"/>
        <w:rPr>
          <w:sz w:val="20"/>
        </w:rPr>
      </w:pP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continues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market</w:t>
      </w:r>
      <w:r>
        <w:rPr>
          <w:spacing w:val="-4"/>
          <w:sz w:val="20"/>
        </w:rPr>
        <w:t xml:space="preserve"> </w:t>
      </w:r>
      <w:r>
        <w:rPr>
          <w:sz w:val="20"/>
        </w:rPr>
        <w:t>failure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</w:p>
    <w:p w14:paraId="42402F52" w14:textId="77777777" w:rsidR="00591638" w:rsidRDefault="00796DDB">
      <w:pPr>
        <w:pStyle w:val="BodyText"/>
        <w:spacing w:before="34"/>
        <w:ind w:left="673"/>
      </w:pPr>
      <w:r>
        <w:t>the</w:t>
      </w:r>
      <w:r>
        <w:rPr>
          <w:spacing w:val="-3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terrorism</w:t>
      </w:r>
      <w:r>
        <w:rPr>
          <w:spacing w:val="-3"/>
        </w:rPr>
        <w:t xml:space="preserve"> </w:t>
      </w:r>
      <w:r>
        <w:t>insurance</w:t>
      </w:r>
    </w:p>
    <w:p w14:paraId="42402F53" w14:textId="77777777" w:rsidR="00591638" w:rsidRDefault="00591638">
      <w:pPr>
        <w:sectPr w:rsidR="00591638">
          <w:type w:val="continuous"/>
          <w:pgSz w:w="11910" w:h="16840"/>
          <w:pgMar w:top="1600" w:right="980" w:bottom="280" w:left="820" w:header="916" w:footer="0" w:gutter="0"/>
          <w:cols w:num="2" w:space="720" w:equalWidth="0">
            <w:col w:w="4819" w:space="356"/>
            <w:col w:w="4935"/>
          </w:cols>
        </w:sectPr>
      </w:pPr>
    </w:p>
    <w:p w14:paraId="42402F54" w14:textId="77777777" w:rsidR="00591638" w:rsidRDefault="00591638">
      <w:pPr>
        <w:pStyle w:val="BodyText"/>
        <w:spacing w:before="9"/>
        <w:rPr>
          <w:sz w:val="18"/>
        </w:rPr>
      </w:pPr>
    </w:p>
    <w:p w14:paraId="42402F55" w14:textId="77777777" w:rsidR="00591638" w:rsidRDefault="00591638">
      <w:pPr>
        <w:rPr>
          <w:sz w:val="18"/>
        </w:rPr>
        <w:sectPr w:rsidR="00591638">
          <w:pgSz w:w="11910" w:h="16840"/>
          <w:pgMar w:top="1760" w:right="980" w:bottom="280" w:left="820" w:header="916" w:footer="0" w:gutter="0"/>
          <w:cols w:space="720"/>
        </w:sectPr>
      </w:pPr>
    </w:p>
    <w:p w14:paraId="42402F56" w14:textId="77777777" w:rsidR="00591638" w:rsidRDefault="00796DDB">
      <w:pPr>
        <w:pStyle w:val="BodyText"/>
        <w:spacing w:before="59" w:line="276" w:lineRule="auto"/>
        <w:ind w:left="673" w:right="37"/>
      </w:pPr>
      <w:bookmarkStart w:id="1" w:name="_bookmark1"/>
      <w:bookmarkEnd w:id="1"/>
      <w:r>
        <w:t>and</w:t>
      </w:r>
      <w:r>
        <w:rPr>
          <w:spacing w:val="-2"/>
        </w:rPr>
        <w:t xml:space="preserve"> </w:t>
      </w:r>
      <w:proofErr w:type="gramStart"/>
      <w:r>
        <w:t>consequently</w:t>
      </w:r>
      <w:proofErr w:type="gramEnd"/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</w:p>
    <w:p w14:paraId="42402F57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17" w:line="273" w:lineRule="auto"/>
        <w:ind w:right="110"/>
        <w:rPr>
          <w:sz w:val="20"/>
        </w:rPr>
      </w:pPr>
      <w:r>
        <w:rPr>
          <w:sz w:val="20"/>
        </w:rPr>
        <w:t>whether the governance, administration and</w:t>
      </w:r>
      <w:r>
        <w:rPr>
          <w:spacing w:val="1"/>
          <w:sz w:val="20"/>
        </w:rPr>
        <w:t xml:space="preserve"> </w:t>
      </w:r>
      <w:r>
        <w:rPr>
          <w:sz w:val="20"/>
        </w:rPr>
        <w:t>resourcing of the scheme remain appropriate,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interactions between the Cyclone</w:t>
      </w:r>
      <w:r>
        <w:rPr>
          <w:spacing w:val="1"/>
          <w:sz w:val="20"/>
        </w:rPr>
        <w:t xml:space="preserve"> </w:t>
      </w:r>
      <w:r>
        <w:rPr>
          <w:sz w:val="20"/>
        </w:rPr>
        <w:t>Reinsurance</w:t>
      </w:r>
      <w:r>
        <w:rPr>
          <w:spacing w:val="-5"/>
          <w:sz w:val="20"/>
        </w:rPr>
        <w:t xml:space="preserve"> </w:t>
      </w:r>
      <w:r>
        <w:rPr>
          <w:sz w:val="20"/>
        </w:rPr>
        <w:t>Pool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Terrorism</w:t>
      </w:r>
      <w:r>
        <w:rPr>
          <w:spacing w:val="-4"/>
          <w:sz w:val="20"/>
        </w:rPr>
        <w:t xml:space="preserve"> </w:t>
      </w:r>
      <w:r>
        <w:rPr>
          <w:sz w:val="20"/>
        </w:rPr>
        <w:t>Reinsurance</w:t>
      </w:r>
      <w:r>
        <w:rPr>
          <w:spacing w:val="-42"/>
          <w:sz w:val="20"/>
        </w:rPr>
        <w:t xml:space="preserve"> </w:t>
      </w:r>
      <w:r>
        <w:rPr>
          <w:sz w:val="20"/>
        </w:rPr>
        <w:t>Pool,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42402F58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21" w:line="276" w:lineRule="auto"/>
        <w:ind w:right="185"/>
        <w:rPr>
          <w:sz w:val="20"/>
        </w:rPr>
      </w:pPr>
      <w:r>
        <w:rPr>
          <w:sz w:val="20"/>
        </w:rPr>
        <w:t>whether the risk of cyber terrorism causing</w:t>
      </w:r>
      <w:r>
        <w:rPr>
          <w:spacing w:val="1"/>
          <w:sz w:val="20"/>
        </w:rPr>
        <w:t xml:space="preserve"> </w:t>
      </w:r>
      <w:r>
        <w:rPr>
          <w:sz w:val="20"/>
        </w:rPr>
        <w:t>physical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damage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scheme</w:t>
      </w:r>
    </w:p>
    <w:p w14:paraId="42402F59" w14:textId="77777777" w:rsidR="00591638" w:rsidRDefault="00796DDB">
      <w:pPr>
        <w:pStyle w:val="BodyText"/>
        <w:spacing w:before="111" w:line="273" w:lineRule="auto"/>
        <w:ind w:left="312" w:right="37"/>
      </w:pPr>
      <w:r>
        <w:t>ARPC will support the review including connecting</w:t>
      </w:r>
      <w:r>
        <w:rPr>
          <w:spacing w:val="1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</w:p>
    <w:p w14:paraId="42402F5A" w14:textId="77777777" w:rsidR="00591638" w:rsidRDefault="00796DDB">
      <w:pPr>
        <w:pStyle w:val="Heading1"/>
        <w:spacing w:before="57"/>
      </w:pPr>
      <w:r>
        <w:br w:type="column"/>
      </w:r>
      <w:r>
        <w:rPr>
          <w:color w:val="093067"/>
        </w:rPr>
        <w:t>Board</w:t>
      </w:r>
      <w:r>
        <w:rPr>
          <w:color w:val="093067"/>
          <w:spacing w:val="-4"/>
        </w:rPr>
        <w:t xml:space="preserve"> </w:t>
      </w:r>
      <w:r>
        <w:rPr>
          <w:color w:val="093067"/>
        </w:rPr>
        <w:t>update</w:t>
      </w:r>
    </w:p>
    <w:p w14:paraId="42402F5B" w14:textId="77777777" w:rsidR="00591638" w:rsidRDefault="00796DDB">
      <w:pPr>
        <w:rPr>
          <w:rFonts w:ascii="Calibri"/>
          <w:sz w:val="20"/>
        </w:rPr>
      </w:pPr>
      <w:r>
        <w:br w:type="column"/>
      </w:r>
    </w:p>
    <w:p w14:paraId="42402F5C" w14:textId="77777777" w:rsidR="00591638" w:rsidRDefault="00591638">
      <w:pPr>
        <w:pStyle w:val="BodyText"/>
        <w:spacing w:before="10"/>
        <w:rPr>
          <w:rFonts w:ascii="Calibri"/>
          <w:sz w:val="18"/>
        </w:rPr>
      </w:pPr>
    </w:p>
    <w:p w14:paraId="42402F5D" w14:textId="77777777" w:rsidR="00591638" w:rsidRDefault="00796DDB">
      <w:pPr>
        <w:pStyle w:val="BodyText"/>
        <w:spacing w:line="273" w:lineRule="auto"/>
        <w:ind w:left="533" w:right="151"/>
      </w:pPr>
      <w:r>
        <w:pict w14:anchorId="42402FEA">
          <v:group id="docshapegroup2" o:spid="_x0000_s1040" style="position:absolute;left:0;text-align:left;margin-left:309.05pt;margin-top:3.5pt;width:103.4pt;height:149.1pt;z-index:15731200;mso-position-horizontal-relative:page" coordorigin="6181,70" coordsize="2068,2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4" type="#_x0000_t75" alt="A person wearing glasses  Description automatically generated with low confidence" style="position:absolute;left:6311;top:69;width:1937;height:2552">
              <v:imagedata r:id="rId12" o:title=""/>
            </v:shape>
            <v:shape id="docshape4" o:spid="_x0000_s1043" type="#_x0000_t75" alt="A person wearing glasses  Description automatically generated with low confidence" style="position:absolute;left:6325;top:84;width:1834;height:2447">
              <v:imagedata r:id="rId13" o:title=""/>
            </v:shape>
            <v:rect id="docshape5" o:spid="_x0000_s1042" style="position:absolute;left:6181;top:2627;width:1902;height:42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1" type="#_x0000_t202" style="position:absolute;left:6181;top:69;width:2068;height:2982" filled="f" stroked="f">
              <v:textbox inset="0,0,0,0">
                <w:txbxContent>
                  <w:p w14:paraId="42403000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1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2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3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4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5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6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7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8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9" w14:textId="77777777" w:rsidR="00591638" w:rsidRDefault="00591638">
                    <w:pPr>
                      <w:rPr>
                        <w:sz w:val="20"/>
                      </w:rPr>
                    </w:pPr>
                  </w:p>
                  <w:p w14:paraId="4240300A" w14:textId="77777777" w:rsidR="00591638" w:rsidRDefault="00591638">
                    <w:pPr>
                      <w:spacing w:before="2"/>
                      <w:rPr>
                        <w:sz w:val="16"/>
                      </w:rPr>
                    </w:pPr>
                  </w:p>
                  <w:p w14:paraId="4240300B" w14:textId="77777777" w:rsidR="00591638" w:rsidRDefault="00796DDB">
                    <w:pPr>
                      <w:spacing w:before="1"/>
                      <w:ind w:left="15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504B4B"/>
                        <w:sz w:val="20"/>
                      </w:rPr>
                      <w:t>Jan</w:t>
                    </w:r>
                    <w:r>
                      <w:rPr>
                        <w:i/>
                        <w:color w:val="504B4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04B4B"/>
                        <w:sz w:val="20"/>
                      </w:rPr>
                      <w:t>van der</w:t>
                    </w:r>
                    <w:r>
                      <w:rPr>
                        <w:i/>
                        <w:color w:val="504B4B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04B4B"/>
                        <w:sz w:val="20"/>
                      </w:rPr>
                      <w:t>Schalk</w:t>
                    </w:r>
                  </w:p>
                </w:txbxContent>
              </v:textbox>
            </v:shape>
            <w10:wrap anchorx="page"/>
          </v:group>
        </w:pict>
      </w:r>
      <w:r>
        <w:t>ARPC has welcomed 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reappointment of Elaine</w:t>
      </w:r>
      <w:r>
        <w:rPr>
          <w:spacing w:val="1"/>
        </w:rPr>
        <w:t xml:space="preserve"> </w:t>
      </w:r>
      <w:r>
        <w:t>Collins and the new</w:t>
      </w:r>
      <w:r>
        <w:rPr>
          <w:spacing w:val="1"/>
        </w:rPr>
        <w:t xml:space="preserve"> </w:t>
      </w:r>
      <w:r>
        <w:t>appointment of Jan van der</w:t>
      </w:r>
      <w:r>
        <w:rPr>
          <w:spacing w:val="1"/>
        </w:rPr>
        <w:t xml:space="preserve"> </w:t>
      </w:r>
      <w:r>
        <w:t>Schalk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Members,</w:t>
      </w:r>
      <w:r>
        <w:rPr>
          <w:spacing w:val="45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for a three-year term from 1</w:t>
      </w:r>
      <w:r>
        <w:rPr>
          <w:spacing w:val="-43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2021.</w:t>
      </w:r>
    </w:p>
    <w:p w14:paraId="42402F5E" w14:textId="77777777" w:rsidR="00591638" w:rsidRDefault="00591638">
      <w:pPr>
        <w:pStyle w:val="BodyText"/>
        <w:rPr>
          <w:sz w:val="15"/>
        </w:rPr>
      </w:pPr>
    </w:p>
    <w:p w14:paraId="42402F5F" w14:textId="77777777" w:rsidR="00591638" w:rsidRDefault="00796DDB">
      <w:pPr>
        <w:pStyle w:val="BodyText"/>
        <w:spacing w:line="273" w:lineRule="auto"/>
        <w:ind w:left="312" w:right="471" w:firstLine="102"/>
        <w:jc w:val="center"/>
      </w:pPr>
      <w:r>
        <w:t>We would like to thank</w:t>
      </w:r>
      <w:r>
        <w:rPr>
          <w:spacing w:val="1"/>
        </w:rPr>
        <w:t xml:space="preserve"> </w:t>
      </w:r>
      <w:r>
        <w:t>Janet Torney and John</w:t>
      </w:r>
      <w:r>
        <w:rPr>
          <w:spacing w:val="1"/>
        </w:rPr>
        <w:t xml:space="preserve"> </w:t>
      </w:r>
      <w:r>
        <w:t>Peberdy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to</w:t>
      </w:r>
    </w:p>
    <w:p w14:paraId="42402F60" w14:textId="77777777" w:rsidR="00591638" w:rsidRDefault="00591638">
      <w:pPr>
        <w:spacing w:line="273" w:lineRule="auto"/>
        <w:jc w:val="center"/>
        <w:sectPr w:rsidR="00591638">
          <w:type w:val="continuous"/>
          <w:pgSz w:w="11910" w:h="16840"/>
          <w:pgMar w:top="1600" w:right="980" w:bottom="280" w:left="820" w:header="916" w:footer="0" w:gutter="0"/>
          <w:cols w:num="3" w:space="720" w:equalWidth="0">
            <w:col w:w="4692" w:space="484"/>
            <w:col w:w="1684" w:space="271"/>
            <w:col w:w="2979"/>
          </w:cols>
        </w:sectPr>
      </w:pPr>
    </w:p>
    <w:p w14:paraId="42402F61" w14:textId="77777777" w:rsidR="00591638" w:rsidRDefault="00796DDB">
      <w:pPr>
        <w:pStyle w:val="BodyText"/>
        <w:spacing w:before="2"/>
        <w:ind w:left="312"/>
      </w:pPr>
      <w:r>
        <w:t>input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Review.</w:t>
      </w:r>
    </w:p>
    <w:p w14:paraId="42402F62" w14:textId="77777777" w:rsidR="00591638" w:rsidRDefault="00591638">
      <w:pPr>
        <w:pStyle w:val="BodyText"/>
        <w:spacing w:before="7"/>
        <w:rPr>
          <w:sz w:val="19"/>
        </w:rPr>
      </w:pPr>
    </w:p>
    <w:p w14:paraId="42402F63" w14:textId="77777777" w:rsidR="00591638" w:rsidRDefault="00796DDB">
      <w:pPr>
        <w:pStyle w:val="BodyText"/>
        <w:spacing w:line="273" w:lineRule="auto"/>
        <w:ind w:left="312"/>
      </w:pPr>
      <w:r>
        <w:t>Previous</w:t>
      </w:r>
      <w:r>
        <w:rPr>
          <w:spacing w:val="-4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2009,</w:t>
      </w:r>
      <w:r>
        <w:rPr>
          <w:spacing w:val="-4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t>2015</w:t>
      </w:r>
      <w:r>
        <w:rPr>
          <w:spacing w:val="-43"/>
        </w:rPr>
        <w:t xml:space="preserve"> </w:t>
      </w:r>
      <w:r>
        <w:t>and 2018 each found there was insufficient terrorism</w:t>
      </w:r>
      <w:r>
        <w:rPr>
          <w:spacing w:val="1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commercially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terms,</w:t>
      </w:r>
      <w:r>
        <w:rPr>
          <w:spacing w:val="-42"/>
        </w:rPr>
        <w:t xml:space="preserve"> </w:t>
      </w:r>
      <w:r>
        <w:t>and concluded that the Act should continue in</w:t>
      </w:r>
      <w:r>
        <w:rPr>
          <w:spacing w:val="1"/>
        </w:rPr>
        <w:t xml:space="preserve"> </w:t>
      </w:r>
      <w:r>
        <w:t>operation, subject to further review, in no more than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years.</w:t>
      </w:r>
    </w:p>
    <w:p w14:paraId="42402F64" w14:textId="77777777" w:rsidR="00591638" w:rsidRDefault="00591638">
      <w:pPr>
        <w:pStyle w:val="BodyText"/>
        <w:spacing w:before="6"/>
        <w:rPr>
          <w:sz w:val="16"/>
        </w:rPr>
      </w:pPr>
    </w:p>
    <w:p w14:paraId="42402F65" w14:textId="77777777" w:rsidR="00591638" w:rsidRDefault="00796DDB">
      <w:pPr>
        <w:pStyle w:val="BodyText"/>
        <w:spacing w:before="1" w:line="273" w:lineRule="auto"/>
        <w:ind w:left="312" w:right="38"/>
      </w:pPr>
      <w:r>
        <w:t>As in previous years, The Treasury is responsible for</w:t>
      </w:r>
      <w:r>
        <w:rPr>
          <w:spacing w:val="1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ARPC’s</w:t>
      </w:r>
      <w:r>
        <w:rPr>
          <w:spacing w:val="3"/>
        </w:rPr>
        <w:t xml:space="preserve"> </w:t>
      </w:r>
      <w:r>
        <w:t>Minister,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Hon.</w:t>
      </w:r>
      <w:r>
        <w:rPr>
          <w:spacing w:val="6"/>
        </w:rPr>
        <w:t xml:space="preserve"> </w:t>
      </w:r>
      <w:r>
        <w:t>Michael</w:t>
      </w:r>
      <w:r>
        <w:rPr>
          <w:spacing w:val="3"/>
        </w:rPr>
        <w:t xml:space="preserve"> </w:t>
      </w:r>
      <w:r>
        <w:t>Sukkar</w:t>
      </w:r>
      <w:r>
        <w:rPr>
          <w:spacing w:val="4"/>
        </w:rPr>
        <w:t xml:space="preserve"> </w:t>
      </w:r>
      <w:r>
        <w:t>MP,</w:t>
      </w:r>
      <w:r>
        <w:rPr>
          <w:spacing w:val="1"/>
        </w:rPr>
        <w:t xml:space="preserve"> </w:t>
      </w:r>
      <w:r>
        <w:t xml:space="preserve">Assistant Treasurer, Minister for </w:t>
      </w:r>
      <w:r>
        <w:t>Housing and Minster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Homelessness,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Housing.</w:t>
      </w:r>
    </w:p>
    <w:p w14:paraId="42402F66" w14:textId="77777777" w:rsidR="00591638" w:rsidRDefault="00591638">
      <w:pPr>
        <w:pStyle w:val="BodyText"/>
        <w:spacing w:before="6"/>
        <w:rPr>
          <w:sz w:val="16"/>
        </w:rPr>
      </w:pPr>
    </w:p>
    <w:p w14:paraId="42402F67" w14:textId="77777777" w:rsidR="00591638" w:rsidRDefault="00796DDB">
      <w:pPr>
        <w:pStyle w:val="BodyText"/>
        <w:spacing w:before="1" w:line="273" w:lineRule="auto"/>
        <w:ind w:left="312" w:right="326"/>
      </w:pPr>
      <w:r>
        <w:rPr>
          <w:color w:val="002E64"/>
        </w:rPr>
        <w:t>To view the full 2021 Triennial Review terms of</w:t>
      </w:r>
      <w:r>
        <w:rPr>
          <w:color w:val="002E64"/>
          <w:spacing w:val="1"/>
        </w:rPr>
        <w:t xml:space="preserve"> </w:t>
      </w:r>
      <w:r>
        <w:rPr>
          <w:color w:val="002E64"/>
        </w:rPr>
        <w:t>reference and process for making submissions, click</w:t>
      </w:r>
      <w:r>
        <w:rPr>
          <w:color w:val="002E64"/>
          <w:spacing w:val="-43"/>
        </w:rPr>
        <w:t xml:space="preserve"> </w:t>
      </w:r>
      <w:hyperlink r:id="rId14">
        <w:r>
          <w:rPr>
            <w:color w:val="002E64"/>
            <w:u w:val="single" w:color="002E64"/>
          </w:rPr>
          <w:t>here</w:t>
        </w:r>
        <w:r>
          <w:rPr>
            <w:color w:val="002E64"/>
          </w:rPr>
          <w:t>.</w:t>
        </w:r>
        <w:r>
          <w:rPr>
            <w:color w:val="002E64"/>
            <w:spacing w:val="-2"/>
          </w:rPr>
          <w:t xml:space="preserve"> </w:t>
        </w:r>
      </w:hyperlink>
      <w:r>
        <w:rPr>
          <w:color w:val="002E64"/>
        </w:rPr>
        <w:t>Submissions closed on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30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July 2021.</w:t>
      </w:r>
    </w:p>
    <w:p w14:paraId="42402F68" w14:textId="77777777" w:rsidR="00591638" w:rsidRDefault="00591638">
      <w:pPr>
        <w:pStyle w:val="BodyText"/>
        <w:spacing w:before="9"/>
        <w:rPr>
          <w:sz w:val="14"/>
        </w:rPr>
      </w:pPr>
    </w:p>
    <w:p w14:paraId="42402F69" w14:textId="77777777" w:rsidR="00591638" w:rsidRDefault="00796DDB">
      <w:pPr>
        <w:pStyle w:val="BodyText"/>
        <w:ind w:left="312" w:right="114"/>
      </w:pPr>
      <w:r>
        <w:rPr>
          <w:color w:val="002E64"/>
        </w:rPr>
        <w:t>To view the media release issued by the Hon. Michael</w:t>
      </w:r>
      <w:r>
        <w:rPr>
          <w:color w:val="002E64"/>
          <w:spacing w:val="1"/>
        </w:rPr>
        <w:t xml:space="preserve"> </w:t>
      </w:r>
      <w:r>
        <w:rPr>
          <w:color w:val="002E64"/>
        </w:rPr>
        <w:t>Sukkar MP, Assistant Treasurer, Minister for Housing</w:t>
      </w:r>
      <w:r>
        <w:rPr>
          <w:color w:val="002E64"/>
          <w:spacing w:val="1"/>
        </w:rPr>
        <w:t xml:space="preserve"> </w:t>
      </w:r>
      <w:r>
        <w:rPr>
          <w:color w:val="002E64"/>
        </w:rPr>
        <w:t>and Minister for Homelessness, Social an</w:t>
      </w:r>
      <w:r>
        <w:rPr>
          <w:color w:val="002E64"/>
        </w:rPr>
        <w:t>d Community</w:t>
      </w:r>
      <w:r>
        <w:rPr>
          <w:color w:val="002E64"/>
          <w:spacing w:val="-43"/>
        </w:rPr>
        <w:t xml:space="preserve"> </w:t>
      </w:r>
      <w:r>
        <w:rPr>
          <w:color w:val="002E64"/>
        </w:rPr>
        <w:t>Housing,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click</w:t>
      </w:r>
      <w:r>
        <w:rPr>
          <w:color w:val="002E64"/>
          <w:spacing w:val="1"/>
        </w:rPr>
        <w:t xml:space="preserve"> </w:t>
      </w:r>
      <w:hyperlink r:id="rId15">
        <w:r>
          <w:rPr>
            <w:color w:val="002E64"/>
            <w:u w:val="single" w:color="002E64"/>
          </w:rPr>
          <w:t>here</w:t>
        </w:r>
        <w:r>
          <w:rPr>
            <w:color w:val="002E64"/>
          </w:rPr>
          <w:t>.</w:t>
        </w:r>
      </w:hyperlink>
    </w:p>
    <w:p w14:paraId="42402F6A" w14:textId="77777777" w:rsidR="00591638" w:rsidRDefault="00591638">
      <w:pPr>
        <w:pStyle w:val="BodyText"/>
        <w:spacing w:before="11"/>
        <w:rPr>
          <w:sz w:val="29"/>
        </w:rPr>
      </w:pPr>
    </w:p>
    <w:p w14:paraId="42402F6B" w14:textId="77777777" w:rsidR="00591638" w:rsidRDefault="00796DDB">
      <w:pPr>
        <w:pStyle w:val="BodyText"/>
        <w:spacing w:line="20" w:lineRule="exact"/>
        <w:ind w:left="314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42402FEC">
          <v:group id="docshapegroup7" o:spid="_x0000_s1038" style="width:225.75pt;height:.75pt;mso-position-horizontal-relative:char;mso-position-vertical-relative:line" coordsize="4515,15">
            <v:line id="_x0000_s1039" style="position:absolute" from="0,7" to="4515,7" strokecolor="#b9371b"/>
            <w10:anchorlock/>
          </v:group>
        </w:pict>
      </w:r>
    </w:p>
    <w:p w14:paraId="42402F6C" w14:textId="77777777" w:rsidR="00591638" w:rsidRDefault="00796DDB">
      <w:pPr>
        <w:pStyle w:val="BodyText"/>
        <w:spacing w:line="204" w:lineRule="exact"/>
        <w:ind w:left="312"/>
      </w:pPr>
      <w:r>
        <w:br w:type="column"/>
      </w:r>
      <w:r>
        <w:t>ARPC.</w:t>
      </w:r>
      <w:r>
        <w:rPr>
          <w:spacing w:val="-3"/>
        </w:rPr>
        <w:t xml:space="preserve"> </w:t>
      </w:r>
      <w:r>
        <w:t>T</w:t>
      </w:r>
      <w:r>
        <w:t>heir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Members expired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June</w:t>
      </w:r>
    </w:p>
    <w:p w14:paraId="42402F6D" w14:textId="77777777" w:rsidR="00591638" w:rsidRDefault="00796DDB">
      <w:pPr>
        <w:pStyle w:val="BodyText"/>
        <w:spacing w:before="34"/>
        <w:ind w:left="312"/>
      </w:pPr>
      <w:r>
        <w:t>2021.</w:t>
      </w:r>
    </w:p>
    <w:p w14:paraId="42402F6E" w14:textId="77777777" w:rsidR="00591638" w:rsidRDefault="00591638">
      <w:pPr>
        <w:pStyle w:val="BodyText"/>
        <w:spacing w:before="7"/>
        <w:rPr>
          <w:sz w:val="17"/>
        </w:rPr>
      </w:pPr>
    </w:p>
    <w:p w14:paraId="42402F6F" w14:textId="77777777" w:rsidR="00591638" w:rsidRDefault="00796DDB">
      <w:pPr>
        <w:pStyle w:val="BodyText"/>
        <w:spacing w:line="273" w:lineRule="auto"/>
        <w:ind w:left="312" w:right="247"/>
      </w:pPr>
      <w:r>
        <w:t>Ian Carson AM, ARPC Chair, said: “The ARPC Board is</w:t>
      </w:r>
      <w:r>
        <w:rPr>
          <w:spacing w:val="-43"/>
        </w:rPr>
        <w:t xml:space="preserve"> </w:t>
      </w:r>
      <w:r>
        <w:t>pleased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reappointed</w:t>
      </w:r>
      <w:r>
        <w:rPr>
          <w:spacing w:val="-5"/>
        </w:rPr>
        <w:t xml:space="preserve"> </w:t>
      </w:r>
      <w:r>
        <w:t>Elaine</w:t>
      </w:r>
      <w:r>
        <w:rPr>
          <w:spacing w:val="-42"/>
        </w:rPr>
        <w:t xml:space="preserve"> </w:t>
      </w:r>
      <w:r>
        <w:t>Collins as a Member of ARPC. Her skills as an actuary</w:t>
      </w:r>
      <w:r>
        <w:rPr>
          <w:spacing w:val="-43"/>
        </w:rPr>
        <w:t xml:space="preserve"> </w:t>
      </w:r>
      <w:r>
        <w:t>are highly valued by the ARPC in administering the</w:t>
      </w:r>
      <w:r>
        <w:rPr>
          <w:spacing w:val="1"/>
        </w:rPr>
        <w:t xml:space="preserve"> </w:t>
      </w:r>
      <w:r>
        <w:t>Terrorism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Scheme.”</w:t>
      </w:r>
    </w:p>
    <w:p w14:paraId="42402F70" w14:textId="77777777" w:rsidR="00591638" w:rsidRDefault="00591638">
      <w:pPr>
        <w:pStyle w:val="BodyText"/>
        <w:spacing w:before="6"/>
        <w:rPr>
          <w:sz w:val="16"/>
        </w:rPr>
      </w:pPr>
    </w:p>
    <w:p w14:paraId="42402F71" w14:textId="77777777" w:rsidR="00591638" w:rsidRDefault="00796DDB">
      <w:pPr>
        <w:pStyle w:val="BodyText"/>
        <w:ind w:left="312"/>
      </w:pPr>
      <w:r>
        <w:t>“Jan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Schalk’s</w:t>
      </w:r>
      <w:r>
        <w:rPr>
          <w:spacing w:val="-2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ARPC</w:t>
      </w:r>
    </w:p>
    <w:p w14:paraId="42402F72" w14:textId="77777777" w:rsidR="00591638" w:rsidRDefault="00796DDB">
      <w:pPr>
        <w:pStyle w:val="BodyText"/>
        <w:spacing w:before="35"/>
        <w:ind w:left="312"/>
      </w:pPr>
      <w:r>
        <w:t>as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 deep</w:t>
      </w:r>
      <w:r>
        <w:rPr>
          <w:spacing w:val="-2"/>
        </w:rPr>
        <w:t xml:space="preserve"> </w:t>
      </w:r>
      <w:r>
        <w:t>reinsurance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investment</w:t>
      </w:r>
    </w:p>
    <w:p w14:paraId="42402F73" w14:textId="77777777" w:rsidR="00591638" w:rsidRDefault="00796DDB">
      <w:pPr>
        <w:pStyle w:val="BodyText"/>
        <w:spacing w:before="36"/>
        <w:ind w:left="312"/>
      </w:pPr>
      <w:r>
        <w:t>experience</w:t>
      </w:r>
      <w:r>
        <w:rPr>
          <w:spacing w:val="-3"/>
        </w:rPr>
        <w:t xml:space="preserve"> </w:t>
      </w:r>
      <w:r>
        <w:t>and I</w:t>
      </w:r>
      <w:r>
        <w:rPr>
          <w:spacing w:val="-3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forward to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him.”</w:t>
      </w:r>
    </w:p>
    <w:p w14:paraId="42402F74" w14:textId="77777777" w:rsidR="00591638" w:rsidRDefault="00591638">
      <w:pPr>
        <w:pStyle w:val="BodyText"/>
        <w:spacing w:before="10"/>
        <w:rPr>
          <w:sz w:val="15"/>
        </w:rPr>
      </w:pPr>
    </w:p>
    <w:p w14:paraId="42402F75" w14:textId="77777777" w:rsidR="00591638" w:rsidRDefault="00796DDB">
      <w:pPr>
        <w:pStyle w:val="BodyText"/>
        <w:spacing w:line="276" w:lineRule="auto"/>
        <w:ind w:left="312" w:right="145"/>
      </w:pPr>
      <w:r>
        <w:t>Earlier in his career, Jan was part of a team which</w:t>
      </w:r>
      <w:r>
        <w:rPr>
          <w:spacing w:val="1"/>
        </w:rPr>
        <w:t xml:space="preserve"> </w:t>
      </w:r>
      <w:r>
        <w:t>founded and built property catastrophe specialist, ACE</w:t>
      </w:r>
      <w:r>
        <w:rPr>
          <w:spacing w:val="1"/>
        </w:rPr>
        <w:t xml:space="preserve"> </w:t>
      </w:r>
      <w:r>
        <w:t>Tempest Reinsurance where he was Chief Underwriting</w:t>
      </w:r>
      <w:r>
        <w:rPr>
          <w:spacing w:val="-4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(International).</w:t>
      </w:r>
    </w:p>
    <w:p w14:paraId="42402F76" w14:textId="77777777" w:rsidR="00591638" w:rsidRDefault="00591638">
      <w:pPr>
        <w:pStyle w:val="BodyText"/>
        <w:spacing w:before="7"/>
        <w:rPr>
          <w:sz w:val="16"/>
        </w:rPr>
      </w:pPr>
    </w:p>
    <w:p w14:paraId="42402F77" w14:textId="77777777" w:rsidR="00591638" w:rsidRDefault="00796DDB">
      <w:pPr>
        <w:pStyle w:val="BodyText"/>
        <w:spacing w:line="276" w:lineRule="auto"/>
        <w:ind w:left="312" w:right="550"/>
      </w:pPr>
      <w:r>
        <w:t>He also served as CEO of Asset Management and</w:t>
      </w:r>
      <w:r>
        <w:rPr>
          <w:spacing w:val="1"/>
        </w:rPr>
        <w:t xml:space="preserve"> </w:t>
      </w:r>
      <w:r>
        <w:t>Reinsurance at Insurance Australia Group (IAG) for</w:t>
      </w:r>
      <w:r>
        <w:rPr>
          <w:spacing w:val="-44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years.</w:t>
      </w:r>
    </w:p>
    <w:p w14:paraId="42402F78" w14:textId="77777777" w:rsidR="00591638" w:rsidRDefault="00591638">
      <w:pPr>
        <w:pStyle w:val="BodyText"/>
        <w:spacing w:before="4"/>
        <w:rPr>
          <w:sz w:val="16"/>
        </w:rPr>
      </w:pPr>
    </w:p>
    <w:p w14:paraId="42402F79" w14:textId="77777777" w:rsidR="00591638" w:rsidRDefault="00796DDB">
      <w:pPr>
        <w:pStyle w:val="BodyText"/>
        <w:spacing w:line="273" w:lineRule="auto"/>
        <w:ind w:left="312" w:right="247"/>
      </w:pPr>
      <w:r>
        <w:t>Dr Christopher Wallace, ARPC CEO, also thanked Janet</w:t>
      </w:r>
      <w:r>
        <w:rPr>
          <w:spacing w:val="-43"/>
        </w:rPr>
        <w:t xml:space="preserve"> </w:t>
      </w:r>
      <w:r>
        <w:t>Torney and John Peberdy for their service to ARPC,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expiry of</w:t>
      </w:r>
      <w:r>
        <w:rPr>
          <w:spacing w:val="-1"/>
        </w:rPr>
        <w:t xml:space="preserve"> </w:t>
      </w:r>
      <w:r>
        <w:t>their terms.</w:t>
      </w:r>
    </w:p>
    <w:p w14:paraId="42402F7A" w14:textId="77777777" w:rsidR="00591638" w:rsidRDefault="00591638">
      <w:pPr>
        <w:pStyle w:val="BodyText"/>
        <w:spacing w:before="6"/>
        <w:rPr>
          <w:sz w:val="16"/>
        </w:rPr>
      </w:pPr>
    </w:p>
    <w:p w14:paraId="42402F7B" w14:textId="77777777" w:rsidR="00591638" w:rsidRDefault="00796DDB">
      <w:pPr>
        <w:pStyle w:val="BodyText"/>
        <w:spacing w:line="273" w:lineRule="auto"/>
        <w:ind w:left="312" w:right="201" w:firstLine="45"/>
      </w:pPr>
      <w:r>
        <w:t>“Ja</w:t>
      </w:r>
      <w:r>
        <w:t>net Torney has skilfully chaired ARPC’s Audit &amp;</w:t>
      </w:r>
      <w:r>
        <w:rPr>
          <w:spacing w:val="1"/>
        </w:rPr>
        <w:t xml:space="preserve"> </w:t>
      </w:r>
      <w:r>
        <w:t>Compliance Committee, contributed investment and</w:t>
      </w:r>
      <w:r>
        <w:rPr>
          <w:spacing w:val="1"/>
        </w:rPr>
        <w:t xml:space="preserve"> </w:t>
      </w:r>
      <w:r>
        <w:t>governance expertise and more recently guided the</w:t>
      </w:r>
      <w:r>
        <w:rPr>
          <w:spacing w:val="1"/>
        </w:rPr>
        <w:t xml:space="preserve"> </w:t>
      </w:r>
      <w:r>
        <w:t>organisation’s risk management oversight,” Dr Wallace</w:t>
      </w:r>
      <w:r>
        <w:rPr>
          <w:spacing w:val="-43"/>
        </w:rPr>
        <w:t xml:space="preserve"> </w:t>
      </w:r>
      <w:r>
        <w:t>said.</w:t>
      </w:r>
    </w:p>
    <w:p w14:paraId="42402F7C" w14:textId="77777777" w:rsidR="00591638" w:rsidRDefault="00591638">
      <w:pPr>
        <w:pStyle w:val="BodyText"/>
        <w:spacing w:before="7"/>
        <w:rPr>
          <w:sz w:val="16"/>
        </w:rPr>
      </w:pPr>
    </w:p>
    <w:p w14:paraId="42402F7D" w14:textId="77777777" w:rsidR="00591638" w:rsidRDefault="00796DDB">
      <w:pPr>
        <w:pStyle w:val="BodyText"/>
        <w:spacing w:before="1" w:line="273" w:lineRule="auto"/>
        <w:ind w:left="312" w:right="143" w:firstLine="45"/>
      </w:pPr>
      <w:r>
        <w:t>“John Peberdy made a significant contribution to</w:t>
      </w:r>
      <w:r>
        <w:t xml:space="preserve"> ARPC</w:t>
      </w:r>
      <w:r>
        <w:rPr>
          <w:spacing w:val="-43"/>
        </w:rPr>
        <w:t xml:space="preserve"> </w:t>
      </w:r>
      <w:r>
        <w:t>during his term, assisting with the annual reinsurance</w:t>
      </w:r>
      <w:r>
        <w:rPr>
          <w:spacing w:val="1"/>
        </w:rPr>
        <w:t xml:space="preserve"> </w:t>
      </w:r>
      <w:r>
        <w:t>program placement and as a reinsurance and insurance</w:t>
      </w:r>
      <w:r>
        <w:rPr>
          <w:spacing w:val="-43"/>
        </w:rPr>
        <w:t xml:space="preserve"> </w:t>
      </w:r>
      <w:r>
        <w:t>expert,”</w:t>
      </w:r>
      <w:r>
        <w:rPr>
          <w:spacing w:val="-1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said.</w:t>
      </w:r>
    </w:p>
    <w:p w14:paraId="42402F7E" w14:textId="77777777" w:rsidR="00591638" w:rsidRDefault="00591638">
      <w:pPr>
        <w:spacing w:line="273" w:lineRule="auto"/>
        <w:sectPr w:rsidR="00591638">
          <w:type w:val="continuous"/>
          <w:pgSz w:w="11910" w:h="16840"/>
          <w:pgMar w:top="1600" w:right="980" w:bottom="280" w:left="820" w:header="916" w:footer="0" w:gutter="0"/>
          <w:cols w:num="2" w:space="720" w:equalWidth="0">
            <w:col w:w="4812" w:space="363"/>
            <w:col w:w="4935"/>
          </w:cols>
        </w:sectPr>
      </w:pPr>
    </w:p>
    <w:p w14:paraId="42402F7F" w14:textId="77777777" w:rsidR="00591638" w:rsidRDefault="00591638">
      <w:pPr>
        <w:pStyle w:val="BodyText"/>
        <w:spacing w:before="8"/>
        <w:rPr>
          <w:sz w:val="23"/>
        </w:rPr>
      </w:pPr>
    </w:p>
    <w:p w14:paraId="42402F80" w14:textId="77777777" w:rsidR="00591638" w:rsidRDefault="00796DDB">
      <w:pPr>
        <w:pStyle w:val="BodyText"/>
        <w:spacing w:line="20" w:lineRule="exact"/>
        <w:ind w:left="5487"/>
        <w:rPr>
          <w:sz w:val="2"/>
        </w:rPr>
      </w:pPr>
      <w:r>
        <w:rPr>
          <w:sz w:val="2"/>
        </w:rPr>
      </w:r>
      <w:r>
        <w:rPr>
          <w:sz w:val="2"/>
        </w:rPr>
        <w:pict w14:anchorId="42402FEE">
          <v:group id="docshapegroup8" o:spid="_x0000_s1036" style="width:225.75pt;height:.75pt;mso-position-horizontal-relative:char;mso-position-vertical-relative:line" coordsize="4515,15">
            <v:line id="_x0000_s1037" style="position:absolute" from="0,8" to="4515,8" strokecolor="#b9371b"/>
            <w10:anchorlock/>
          </v:group>
        </w:pict>
      </w:r>
    </w:p>
    <w:p w14:paraId="42402F81" w14:textId="77777777" w:rsidR="00591638" w:rsidRDefault="00591638">
      <w:pPr>
        <w:spacing w:line="20" w:lineRule="exact"/>
        <w:rPr>
          <w:sz w:val="2"/>
        </w:rPr>
        <w:sectPr w:rsidR="00591638">
          <w:type w:val="continuous"/>
          <w:pgSz w:w="11910" w:h="16840"/>
          <w:pgMar w:top="1600" w:right="980" w:bottom="280" w:left="820" w:header="916" w:footer="0" w:gutter="0"/>
          <w:cols w:space="720"/>
        </w:sectPr>
      </w:pPr>
    </w:p>
    <w:p w14:paraId="42402F82" w14:textId="77777777" w:rsidR="00591638" w:rsidRDefault="00591638">
      <w:pPr>
        <w:pStyle w:val="BodyText"/>
        <w:spacing w:before="2"/>
        <w:rPr>
          <w:sz w:val="19"/>
        </w:rPr>
      </w:pPr>
    </w:p>
    <w:p w14:paraId="42402F83" w14:textId="77777777" w:rsidR="00591638" w:rsidRDefault="00591638">
      <w:pPr>
        <w:rPr>
          <w:sz w:val="19"/>
        </w:rPr>
        <w:sectPr w:rsidR="00591638">
          <w:pgSz w:w="11910" w:h="16840"/>
          <w:pgMar w:top="1760" w:right="980" w:bottom="280" w:left="820" w:header="916" w:footer="0" w:gutter="0"/>
          <w:cols w:space="720"/>
        </w:sectPr>
      </w:pPr>
    </w:p>
    <w:p w14:paraId="42402F84" w14:textId="77777777" w:rsidR="00591638" w:rsidRDefault="00796DDB">
      <w:pPr>
        <w:pStyle w:val="Heading1"/>
        <w:spacing w:before="51" w:line="242" w:lineRule="auto"/>
        <w:ind w:right="708"/>
      </w:pPr>
      <w:r>
        <w:rPr>
          <w:color w:val="093067"/>
        </w:rPr>
        <w:t>ARPC supports Treasury’s cyclone pool</w:t>
      </w:r>
      <w:r>
        <w:rPr>
          <w:color w:val="093067"/>
          <w:spacing w:val="-52"/>
        </w:rPr>
        <w:t xml:space="preserve"> </w:t>
      </w:r>
      <w:r>
        <w:rPr>
          <w:color w:val="093067"/>
        </w:rPr>
        <w:t>taskforce</w:t>
      </w:r>
    </w:p>
    <w:p w14:paraId="42402F85" w14:textId="77777777" w:rsidR="00591638" w:rsidRDefault="00796DDB">
      <w:pPr>
        <w:pStyle w:val="BodyText"/>
        <w:spacing w:before="119" w:line="288" w:lineRule="auto"/>
        <w:ind w:left="312" w:right="38"/>
      </w:pPr>
      <w:r>
        <w:t>ARPC’s</w:t>
      </w:r>
      <w:r>
        <w:rPr>
          <w:spacing w:val="1"/>
        </w:rPr>
        <w:t xml:space="preserve"> </w:t>
      </w:r>
      <w:r>
        <w:t>Chief</w:t>
      </w:r>
      <w:r>
        <w:rPr>
          <w:spacing w:val="3"/>
        </w:rPr>
        <w:t xml:space="preserve"> </w:t>
      </w:r>
      <w:r>
        <w:t>Underwriting</w:t>
      </w:r>
      <w:r>
        <w:rPr>
          <w:spacing w:val="3"/>
        </w:rPr>
        <w:t xml:space="preserve"> </w:t>
      </w:r>
      <w:r>
        <w:t>Officer,</w:t>
      </w:r>
      <w:r>
        <w:rPr>
          <w:spacing w:val="2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Pennell</w:t>
      </w:r>
      <w:r>
        <w:rPr>
          <w:spacing w:val="1"/>
        </w:rPr>
        <w:t xml:space="preserve"> </w:t>
      </w:r>
      <w:r>
        <w:t>PSM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Advisor,</w:t>
      </w:r>
      <w:r>
        <w:rPr>
          <w:spacing w:val="-3"/>
        </w:rPr>
        <w:t xml:space="preserve"> </w:t>
      </w:r>
      <w:r>
        <w:t>Jessie</w:t>
      </w:r>
      <w:r>
        <w:rPr>
          <w:spacing w:val="-3"/>
        </w:rPr>
        <w:t xml:space="preserve"> </w:t>
      </w:r>
      <w:r>
        <w:t>Khan,</w:t>
      </w:r>
      <w:r>
        <w:rPr>
          <w:spacing w:val="-42"/>
        </w:rPr>
        <w:t xml:space="preserve"> </w:t>
      </w:r>
      <w:r>
        <w:t>have joined Treasury’s newly created Cyclone</w:t>
      </w:r>
      <w:r>
        <w:rPr>
          <w:spacing w:val="1"/>
        </w:rPr>
        <w:t xml:space="preserve"> </w:t>
      </w:r>
      <w:r>
        <w:t>Reinsurance Pool Taskforce which will advise the</w:t>
      </w:r>
      <w:r>
        <w:rPr>
          <w:spacing w:val="1"/>
        </w:rPr>
        <w:t xml:space="preserve"> </w:t>
      </w:r>
      <w:bookmarkStart w:id="2" w:name="_bookmark2"/>
      <w:bookmarkEnd w:id="2"/>
      <w:r>
        <w:t>Government on an optimal design for the new cyclone</w:t>
      </w:r>
      <w:r>
        <w:rPr>
          <w:spacing w:val="1"/>
        </w:rPr>
        <w:t xml:space="preserve"> </w:t>
      </w:r>
      <w:r>
        <w:t>reinsurance</w:t>
      </w:r>
      <w:r>
        <w:rPr>
          <w:spacing w:val="-2"/>
        </w:rPr>
        <w:t xml:space="preserve"> </w:t>
      </w:r>
      <w:r>
        <w:t>pool.</w:t>
      </w:r>
    </w:p>
    <w:p w14:paraId="42402F86" w14:textId="77777777" w:rsidR="00591638" w:rsidRDefault="00796DDB">
      <w:pPr>
        <w:pStyle w:val="BodyText"/>
        <w:spacing w:before="179" w:line="288" w:lineRule="auto"/>
        <w:ind w:left="312" w:right="91"/>
      </w:pPr>
      <w:r>
        <w:t>The</w:t>
      </w:r>
      <w:r>
        <w:rPr>
          <w:spacing w:val="-5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Prudential</w:t>
      </w:r>
      <w:r>
        <w:rPr>
          <w:spacing w:val="-6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(APRA)</w:t>
      </w:r>
      <w:r>
        <w:rPr>
          <w:spacing w:val="-42"/>
        </w:rPr>
        <w:t xml:space="preserve"> </w:t>
      </w:r>
      <w:r>
        <w:t xml:space="preserve">and the Australian Government Actuary </w:t>
      </w:r>
      <w:r>
        <w:t>have also</w:t>
      </w:r>
      <w:r>
        <w:rPr>
          <w:spacing w:val="1"/>
        </w:rPr>
        <w:t xml:space="preserve"> </w:t>
      </w:r>
      <w:r>
        <w:t>joined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Taskforce.</w:t>
      </w:r>
    </w:p>
    <w:p w14:paraId="42402F87" w14:textId="77777777" w:rsidR="00591638" w:rsidRDefault="00591638">
      <w:pPr>
        <w:pStyle w:val="BodyText"/>
        <w:spacing w:before="9"/>
        <w:rPr>
          <w:sz w:val="14"/>
        </w:rPr>
      </w:pPr>
    </w:p>
    <w:p w14:paraId="42402F88" w14:textId="77777777" w:rsidR="00591638" w:rsidRDefault="00796DDB">
      <w:pPr>
        <w:pStyle w:val="BodyText"/>
        <w:spacing w:line="288" w:lineRule="auto"/>
        <w:ind w:left="312" w:right="401"/>
      </w:pPr>
      <w:r>
        <w:t>In May, Treasury released a detailed consultation</w:t>
      </w:r>
      <w:r>
        <w:rPr>
          <w:spacing w:val="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by 18</w:t>
      </w:r>
      <w:r>
        <w:rPr>
          <w:spacing w:val="-1"/>
        </w:rPr>
        <w:t xml:space="preserve"> </w:t>
      </w:r>
      <w:r>
        <w:t>June.</w:t>
      </w:r>
    </w:p>
    <w:p w14:paraId="42402F89" w14:textId="77777777" w:rsidR="00591638" w:rsidRDefault="00796DDB">
      <w:pPr>
        <w:pStyle w:val="BodyText"/>
        <w:spacing w:before="179"/>
        <w:ind w:left="312"/>
      </w:pPr>
      <w:r>
        <w:rPr>
          <w:color w:val="002E64"/>
        </w:rPr>
        <w:t>Visit</w:t>
      </w:r>
      <w:r>
        <w:rPr>
          <w:color w:val="002E64"/>
          <w:spacing w:val="-3"/>
        </w:rPr>
        <w:t xml:space="preserve"> </w:t>
      </w:r>
      <w:r>
        <w:rPr>
          <w:color w:val="002E64"/>
        </w:rPr>
        <w:t>the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Taskforce</w:t>
      </w:r>
      <w:r>
        <w:rPr>
          <w:color w:val="002E64"/>
          <w:spacing w:val="-3"/>
        </w:rPr>
        <w:t xml:space="preserve"> </w:t>
      </w:r>
      <w:r>
        <w:rPr>
          <w:color w:val="002E64"/>
        </w:rPr>
        <w:t>website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for</w:t>
      </w:r>
      <w:r>
        <w:rPr>
          <w:color w:val="002E64"/>
          <w:spacing w:val="-4"/>
        </w:rPr>
        <w:t xml:space="preserve"> </w:t>
      </w:r>
      <w:r>
        <w:rPr>
          <w:color w:val="002E64"/>
        </w:rPr>
        <w:t>more information</w:t>
      </w:r>
      <w:r>
        <w:rPr>
          <w:color w:val="002E64"/>
          <w:spacing w:val="-1"/>
        </w:rPr>
        <w:t xml:space="preserve"> </w:t>
      </w:r>
      <w:hyperlink r:id="rId16">
        <w:r>
          <w:rPr>
            <w:color w:val="002E64"/>
            <w:u w:val="single" w:color="002E64"/>
          </w:rPr>
          <w:t>here</w:t>
        </w:r>
        <w:r>
          <w:rPr>
            <w:color w:val="002E64"/>
          </w:rPr>
          <w:t>.</w:t>
        </w:r>
      </w:hyperlink>
    </w:p>
    <w:p w14:paraId="42402F8A" w14:textId="77777777" w:rsidR="00591638" w:rsidRDefault="00591638">
      <w:pPr>
        <w:pStyle w:val="BodyText"/>
      </w:pPr>
    </w:p>
    <w:p w14:paraId="42402F8B" w14:textId="77777777" w:rsidR="00591638" w:rsidRDefault="00591638">
      <w:pPr>
        <w:pStyle w:val="BodyText"/>
        <w:spacing w:before="2"/>
        <w:rPr>
          <w:sz w:val="12"/>
        </w:rPr>
      </w:pPr>
    </w:p>
    <w:p w14:paraId="42402F8C" w14:textId="77777777" w:rsidR="00591638" w:rsidRDefault="00796DDB">
      <w:pPr>
        <w:pStyle w:val="BodyText"/>
        <w:spacing w:line="20" w:lineRule="exact"/>
        <w:ind w:left="314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42402FF0">
          <v:group id="docshapegroup9" o:spid="_x0000_s1034" style="width:225.75pt;height:.75pt;mso-position-horizontal-relative:char;mso-position-vertical-relative:line" coordsize="4515,15">
            <v:line id="_x0000_s1035" style="position:absolute" from="0,8" to="4515,8" strokecolor="#b9371b"/>
            <w10:anchorlock/>
          </v:group>
        </w:pict>
      </w:r>
    </w:p>
    <w:p w14:paraId="42402F8D" w14:textId="77777777" w:rsidR="00591638" w:rsidRDefault="00591638">
      <w:pPr>
        <w:pStyle w:val="BodyText"/>
      </w:pPr>
    </w:p>
    <w:p w14:paraId="42402F8E" w14:textId="77777777" w:rsidR="00591638" w:rsidRDefault="00591638">
      <w:pPr>
        <w:pStyle w:val="BodyText"/>
        <w:spacing w:before="3"/>
        <w:rPr>
          <w:sz w:val="17"/>
        </w:rPr>
      </w:pPr>
    </w:p>
    <w:p w14:paraId="42402F8F" w14:textId="77777777" w:rsidR="00591638" w:rsidRDefault="00796DDB">
      <w:pPr>
        <w:pStyle w:val="Heading1"/>
        <w:spacing w:line="276" w:lineRule="auto"/>
        <w:ind w:right="812"/>
      </w:pPr>
      <w:r>
        <w:rPr>
          <w:color w:val="002E64"/>
        </w:rPr>
        <w:t>Risk mitigation handbook approaches</w:t>
      </w:r>
      <w:r>
        <w:rPr>
          <w:color w:val="002E64"/>
          <w:spacing w:val="-52"/>
        </w:rPr>
        <w:t xml:space="preserve"> </w:t>
      </w:r>
      <w:r>
        <w:rPr>
          <w:color w:val="002E64"/>
        </w:rPr>
        <w:t>publication date</w:t>
      </w:r>
    </w:p>
    <w:p w14:paraId="42402F90" w14:textId="77777777" w:rsidR="00591638" w:rsidRDefault="00796DDB">
      <w:pPr>
        <w:pStyle w:val="BodyText"/>
        <w:spacing w:before="118"/>
        <w:ind w:left="312" w:right="91"/>
      </w:pPr>
      <w:r>
        <w:rPr>
          <w:color w:val="424242"/>
        </w:rPr>
        <w:t>ARPC’s risk mitigation handbook, produced in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collaboration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peak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standards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development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body,</w:t>
      </w:r>
      <w:r>
        <w:rPr>
          <w:color w:val="424242"/>
          <w:spacing w:val="-42"/>
        </w:rPr>
        <w:t xml:space="preserve"> </w:t>
      </w:r>
      <w:r>
        <w:rPr>
          <w:color w:val="424242"/>
        </w:rPr>
        <w:t>Standards Australia, is in its final stages of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development, and is anticipated to be published in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coming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months.</w:t>
      </w:r>
    </w:p>
    <w:p w14:paraId="42402F91" w14:textId="77777777" w:rsidR="00591638" w:rsidRDefault="00591638">
      <w:pPr>
        <w:pStyle w:val="BodyText"/>
        <w:spacing w:before="5"/>
        <w:rPr>
          <w:sz w:val="16"/>
        </w:rPr>
      </w:pPr>
    </w:p>
    <w:p w14:paraId="42402F92" w14:textId="77777777" w:rsidR="00591638" w:rsidRDefault="00796DDB">
      <w:pPr>
        <w:pStyle w:val="BodyText"/>
        <w:ind w:left="312" w:right="91"/>
      </w:pPr>
      <w:r>
        <w:rPr>
          <w:color w:val="424242"/>
        </w:rPr>
        <w:t>ARPC has worked closely with Standards Australia to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develop a handbook to support proactive risk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management of large-scale infrastructure (commercial</w:t>
      </w:r>
      <w:r>
        <w:rPr>
          <w:color w:val="424242"/>
          <w:spacing w:val="-44"/>
        </w:rPr>
        <w:t xml:space="preserve"> </w:t>
      </w:r>
      <w:r>
        <w:rPr>
          <w:color w:val="424242"/>
        </w:rPr>
        <w:t>buildings).</w:t>
      </w:r>
    </w:p>
    <w:p w14:paraId="42402F93" w14:textId="77777777" w:rsidR="00591638" w:rsidRDefault="00591638">
      <w:pPr>
        <w:pStyle w:val="BodyText"/>
        <w:spacing w:before="4"/>
        <w:rPr>
          <w:sz w:val="16"/>
        </w:rPr>
      </w:pPr>
    </w:p>
    <w:p w14:paraId="42402F94" w14:textId="77777777" w:rsidR="00591638" w:rsidRDefault="00796DDB">
      <w:pPr>
        <w:pStyle w:val="BodyText"/>
        <w:spacing w:line="273" w:lineRule="auto"/>
        <w:ind w:left="312" w:right="196"/>
      </w:pPr>
      <w:r>
        <w:rPr>
          <w:color w:val="131212"/>
        </w:rPr>
        <w:t>The handbook will provide guidance to owners and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operators of commercial buildings on identif</w:t>
      </w:r>
      <w:r>
        <w:rPr>
          <w:color w:val="131212"/>
        </w:rPr>
        <w:t>ying and</w:t>
      </w:r>
      <w:r>
        <w:rPr>
          <w:color w:val="131212"/>
          <w:spacing w:val="-43"/>
        </w:rPr>
        <w:t xml:space="preserve"> </w:t>
      </w:r>
      <w:r>
        <w:rPr>
          <w:color w:val="131212"/>
        </w:rPr>
        <w:t>assessing relevant sources of building risk associated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with terrorism and other deliberate acts of extreme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violence (such as civil commotion). It will also contain</w:t>
      </w:r>
      <w:r>
        <w:rPr>
          <w:color w:val="131212"/>
          <w:spacing w:val="-44"/>
        </w:rPr>
        <w:t xml:space="preserve"> </w:t>
      </w:r>
      <w:r>
        <w:rPr>
          <w:color w:val="131212"/>
        </w:rPr>
        <w:t>guidance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on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controls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to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mitigate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such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risks.</w:t>
      </w:r>
    </w:p>
    <w:p w14:paraId="42402F95" w14:textId="77777777" w:rsidR="00591638" w:rsidRDefault="00796DDB">
      <w:pPr>
        <w:pStyle w:val="BodyText"/>
        <w:spacing w:before="124" w:line="273" w:lineRule="auto"/>
        <w:ind w:left="312"/>
      </w:pPr>
      <w:r>
        <w:rPr>
          <w:color w:val="131212"/>
        </w:rPr>
        <w:t>ARPC looks forward to hosting a series of market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presentations and seminars to promote industry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integration</w:t>
      </w:r>
      <w:r>
        <w:rPr>
          <w:color w:val="131212"/>
          <w:spacing w:val="-6"/>
        </w:rPr>
        <w:t xml:space="preserve"> </w:t>
      </w:r>
      <w:r>
        <w:rPr>
          <w:color w:val="131212"/>
        </w:rPr>
        <w:t>of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the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recommendations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contained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within</w:t>
      </w:r>
      <w:r>
        <w:rPr>
          <w:color w:val="131212"/>
          <w:spacing w:val="-42"/>
        </w:rPr>
        <w:t xml:space="preserve"> </w:t>
      </w:r>
      <w:r>
        <w:rPr>
          <w:color w:val="131212"/>
        </w:rPr>
        <w:t>the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handbook.</w:t>
      </w:r>
    </w:p>
    <w:p w14:paraId="42402F96" w14:textId="77777777" w:rsidR="00591638" w:rsidRDefault="00796DDB">
      <w:pPr>
        <w:pStyle w:val="BodyText"/>
        <w:spacing w:before="120"/>
        <w:ind w:left="312" w:right="369"/>
      </w:pPr>
      <w:r>
        <w:rPr>
          <w:color w:val="002E64"/>
        </w:rPr>
        <w:t>Read more about the Handbook on ARPC’s website</w:t>
      </w:r>
      <w:r>
        <w:rPr>
          <w:color w:val="002E64"/>
          <w:spacing w:val="-43"/>
        </w:rPr>
        <w:t xml:space="preserve"> </w:t>
      </w:r>
      <w:hyperlink r:id="rId17">
        <w:r>
          <w:rPr>
            <w:color w:val="002E64"/>
            <w:u w:val="single" w:color="002E64"/>
          </w:rPr>
          <w:t>here</w:t>
        </w:r>
        <w:r>
          <w:rPr>
            <w:color w:val="002E64"/>
          </w:rPr>
          <w:t>.</w:t>
        </w:r>
      </w:hyperlink>
    </w:p>
    <w:p w14:paraId="42402F97" w14:textId="77777777" w:rsidR="00591638" w:rsidRDefault="00591638">
      <w:pPr>
        <w:pStyle w:val="BodyText"/>
        <w:spacing w:before="7"/>
        <w:rPr>
          <w:sz w:val="29"/>
        </w:rPr>
      </w:pPr>
    </w:p>
    <w:p w14:paraId="42402F98" w14:textId="77777777" w:rsidR="00591638" w:rsidRDefault="00796DDB">
      <w:pPr>
        <w:pStyle w:val="BodyText"/>
        <w:spacing w:line="20" w:lineRule="exact"/>
        <w:ind w:left="317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42402FF2">
          <v:group id="docshapegroup10" o:spid="_x0000_s1032" style="width:225.75pt;height:.75pt;mso-position-horizontal-relative:char;mso-position-vertical-relative:line" coordsize="4515,15">
            <v:line id="_x0000_s1033" style="position:absolute" from="0,8" to="4515,8" strokecolor="#b9371b"/>
            <w10:anchorlock/>
          </v:group>
        </w:pict>
      </w:r>
    </w:p>
    <w:p w14:paraId="42402F99" w14:textId="77777777" w:rsidR="00591638" w:rsidRDefault="00796DDB">
      <w:pPr>
        <w:spacing w:before="4"/>
        <w:rPr>
          <w:sz w:val="4"/>
        </w:rPr>
      </w:pPr>
      <w:r>
        <w:br w:type="column"/>
      </w:r>
    </w:p>
    <w:p w14:paraId="42402F9A" w14:textId="77777777" w:rsidR="00591638" w:rsidRDefault="00796DDB">
      <w:pPr>
        <w:pStyle w:val="BodyText"/>
        <w:ind w:left="312"/>
      </w:pPr>
      <w:r>
        <w:rPr>
          <w:noProof/>
        </w:rPr>
        <w:drawing>
          <wp:inline distT="0" distB="0" distL="0" distR="0" wp14:anchorId="42402FF3" wp14:editId="42402FF4">
            <wp:extent cx="1447799" cy="390144"/>
            <wp:effectExtent l="0" t="0" r="0" b="0"/>
            <wp:docPr id="7" name="image6.jpeg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02F9B" w14:textId="77777777" w:rsidR="00591638" w:rsidRDefault="00591638">
      <w:pPr>
        <w:pStyle w:val="BodyText"/>
        <w:spacing w:before="2"/>
        <w:rPr>
          <w:sz w:val="27"/>
        </w:rPr>
      </w:pPr>
    </w:p>
    <w:p w14:paraId="42402F9C" w14:textId="77777777" w:rsidR="00591638" w:rsidRDefault="00796DDB">
      <w:pPr>
        <w:pStyle w:val="Heading1"/>
        <w:ind w:left="315"/>
        <w:rPr>
          <w:rFonts w:ascii="Calibri Light"/>
        </w:rPr>
      </w:pPr>
      <w:r>
        <w:rPr>
          <w:rFonts w:ascii="Calibri Light"/>
          <w:color w:val="002E64"/>
        </w:rPr>
        <w:t>The</w:t>
      </w:r>
      <w:r>
        <w:rPr>
          <w:rFonts w:ascii="Calibri Light"/>
          <w:color w:val="002E64"/>
          <w:spacing w:val="-3"/>
        </w:rPr>
        <w:t xml:space="preserve"> </w:t>
      </w:r>
      <w:r>
        <w:rPr>
          <w:rFonts w:ascii="Calibri Light"/>
          <w:color w:val="002E64"/>
        </w:rPr>
        <w:t>economic impact</w:t>
      </w:r>
      <w:r>
        <w:rPr>
          <w:rFonts w:ascii="Calibri Light"/>
          <w:color w:val="002E64"/>
          <w:spacing w:val="-1"/>
        </w:rPr>
        <w:t xml:space="preserve"> </w:t>
      </w:r>
      <w:r>
        <w:rPr>
          <w:rFonts w:ascii="Calibri Light"/>
          <w:color w:val="002E64"/>
        </w:rPr>
        <w:t>of</w:t>
      </w:r>
      <w:r>
        <w:rPr>
          <w:rFonts w:ascii="Calibri Light"/>
          <w:color w:val="002E64"/>
          <w:spacing w:val="-3"/>
        </w:rPr>
        <w:t xml:space="preserve"> </w:t>
      </w:r>
      <w:r>
        <w:rPr>
          <w:rFonts w:ascii="Calibri Light"/>
          <w:color w:val="002E64"/>
        </w:rPr>
        <w:t>exclusion</w:t>
      </w:r>
      <w:r>
        <w:rPr>
          <w:rFonts w:ascii="Calibri Light"/>
          <w:color w:val="002E64"/>
          <w:spacing w:val="-1"/>
        </w:rPr>
        <w:t xml:space="preserve"> </w:t>
      </w:r>
      <w:r>
        <w:rPr>
          <w:rFonts w:ascii="Calibri Light"/>
          <w:color w:val="002E64"/>
        </w:rPr>
        <w:t>zones</w:t>
      </w:r>
    </w:p>
    <w:p w14:paraId="42402F9D" w14:textId="77777777" w:rsidR="00591638" w:rsidRDefault="00591638">
      <w:pPr>
        <w:pStyle w:val="BodyText"/>
        <w:spacing w:before="7"/>
        <w:rPr>
          <w:sz w:val="19"/>
        </w:rPr>
      </w:pPr>
    </w:p>
    <w:p w14:paraId="42402F9E" w14:textId="77777777" w:rsidR="00591638" w:rsidRDefault="00796DDB">
      <w:pPr>
        <w:pStyle w:val="BodyText"/>
        <w:spacing w:before="1"/>
        <w:ind w:left="315" w:right="222"/>
        <w:rPr>
          <w:rFonts w:ascii="Calibri"/>
        </w:rPr>
      </w:pPr>
      <w:r>
        <w:rPr>
          <w:rFonts w:ascii="Calibri"/>
          <w:color w:val="093067"/>
        </w:rPr>
        <w:t>Extracted from a June 2021 article by ARPC Chief</w:t>
      </w:r>
      <w:r>
        <w:rPr>
          <w:rFonts w:ascii="Calibri"/>
          <w:color w:val="093067"/>
          <w:spacing w:val="1"/>
        </w:rPr>
        <w:t xml:space="preserve"> </w:t>
      </w:r>
      <w:r>
        <w:rPr>
          <w:rFonts w:ascii="Calibri"/>
          <w:color w:val="093067"/>
        </w:rPr>
        <w:t>Underwriting Officer, Michael Pennell PSM (pictured),</w:t>
      </w:r>
      <w:r>
        <w:rPr>
          <w:rFonts w:ascii="Calibri"/>
          <w:color w:val="093067"/>
          <w:spacing w:val="-43"/>
        </w:rPr>
        <w:t xml:space="preserve"> </w:t>
      </w:r>
      <w:r>
        <w:rPr>
          <w:rFonts w:ascii="Calibri"/>
          <w:color w:val="093067"/>
        </w:rPr>
        <w:t>published</w:t>
      </w:r>
      <w:r>
        <w:rPr>
          <w:rFonts w:ascii="Calibri"/>
          <w:color w:val="093067"/>
          <w:spacing w:val="-1"/>
        </w:rPr>
        <w:t xml:space="preserve"> </w:t>
      </w:r>
      <w:r>
        <w:rPr>
          <w:rFonts w:ascii="Calibri"/>
          <w:color w:val="093067"/>
        </w:rPr>
        <w:t>in</w:t>
      </w:r>
      <w:r>
        <w:rPr>
          <w:rFonts w:ascii="Calibri"/>
          <w:color w:val="093067"/>
          <w:spacing w:val="1"/>
        </w:rPr>
        <w:t xml:space="preserve"> </w:t>
      </w:r>
      <w:r>
        <w:rPr>
          <w:rFonts w:ascii="Calibri"/>
          <w:color w:val="093067"/>
        </w:rPr>
        <w:t>Asia</w:t>
      </w:r>
      <w:r>
        <w:rPr>
          <w:rFonts w:ascii="Calibri"/>
          <w:color w:val="093067"/>
          <w:spacing w:val="-1"/>
        </w:rPr>
        <w:t xml:space="preserve"> </w:t>
      </w:r>
      <w:r>
        <w:rPr>
          <w:rFonts w:ascii="Calibri"/>
          <w:color w:val="093067"/>
        </w:rPr>
        <w:t>Insurance</w:t>
      </w:r>
      <w:r>
        <w:rPr>
          <w:rFonts w:ascii="Calibri"/>
          <w:color w:val="093067"/>
          <w:spacing w:val="-2"/>
        </w:rPr>
        <w:t xml:space="preserve"> </w:t>
      </w:r>
      <w:r>
        <w:rPr>
          <w:rFonts w:ascii="Calibri"/>
          <w:color w:val="093067"/>
        </w:rPr>
        <w:t>Review</w:t>
      </w:r>
    </w:p>
    <w:p w14:paraId="42402F9F" w14:textId="77777777" w:rsidR="00591638" w:rsidRDefault="00796DDB">
      <w:pPr>
        <w:pStyle w:val="BodyText"/>
        <w:spacing w:before="119"/>
        <w:ind w:left="315"/>
      </w:pP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‘Exclusion</w:t>
      </w:r>
      <w:r>
        <w:rPr>
          <w:spacing w:val="-4"/>
        </w:rPr>
        <w:t xml:space="preserve"> </w:t>
      </w:r>
      <w:r>
        <w:t>Zones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ARPC’s</w:t>
      </w:r>
    </w:p>
    <w:p w14:paraId="42402FA0" w14:textId="77777777" w:rsidR="00591638" w:rsidRDefault="00796DDB">
      <w:pPr>
        <w:pStyle w:val="BodyText"/>
        <w:spacing w:before="34" w:line="276" w:lineRule="auto"/>
        <w:ind w:left="2112" w:right="222" w:hanging="58"/>
      </w:pPr>
      <w:r>
        <w:pict w14:anchorId="42402FF5">
          <v:group id="docshapegroup11" o:spid="_x0000_s1029" style="position:absolute;left:0;text-align:left;margin-left:314.15pt;margin-top:9.75pt;width:81.15pt;height:119.1pt;z-index:15732736;mso-position-horizontal-relative:page" coordorigin="6283,195" coordsize="1623,2382">
            <v:shape id="docshape12" o:spid="_x0000_s1031" type="#_x0000_t75" style="position:absolute;left:6283;top:195;width:1623;height:2382">
              <v:imagedata r:id="rId19" o:title=""/>
            </v:shape>
            <v:shape id="docshape13" o:spid="_x0000_s1030" type="#_x0000_t75" style="position:absolute;left:6295;top:208;width:1519;height:2278">
              <v:imagedata r:id="rId20" o:title=""/>
            </v:shape>
            <w10:wrap anchorx="page"/>
          </v:group>
        </w:pict>
      </w:r>
      <w:r>
        <w:t>Interaction with First</w:t>
      </w:r>
      <w:r>
        <w:rPr>
          <w:spacing w:val="1"/>
        </w:rPr>
        <w:t xml:space="preserve"> </w:t>
      </w:r>
      <w:r>
        <w:t>Responders’, authored by</w:t>
      </w:r>
      <w:r>
        <w:rPr>
          <w:spacing w:val="1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Reinsurance</w:t>
      </w:r>
      <w:r>
        <w:rPr>
          <w:spacing w:val="-4"/>
        </w:rPr>
        <w:t xml:space="preserve"> </w:t>
      </w:r>
      <w:r>
        <w:t>Pool</w:t>
      </w:r>
    </w:p>
    <w:p w14:paraId="42402FA1" w14:textId="77777777" w:rsidR="00591638" w:rsidRDefault="00796DDB">
      <w:pPr>
        <w:pStyle w:val="BodyText"/>
        <w:spacing w:line="273" w:lineRule="auto"/>
        <w:ind w:left="2081" w:right="153" w:firstLine="50"/>
      </w:pPr>
      <w:r>
        <w:t>Corporation (ARPC) with Finity</w:t>
      </w:r>
      <w:r>
        <w:rPr>
          <w:spacing w:val="1"/>
        </w:rPr>
        <w:t xml:space="preserve"> </w:t>
      </w:r>
      <w:r>
        <w:t>Consulting and FPL Advisory,</w:t>
      </w:r>
      <w:r>
        <w:rPr>
          <w:spacing w:val="1"/>
        </w:rPr>
        <w:t xml:space="preserve"> </w:t>
      </w:r>
      <w:r>
        <w:t>estimates damage areas for</w:t>
      </w:r>
      <w:r>
        <w:rPr>
          <w:spacing w:val="1"/>
        </w:rPr>
        <w:t xml:space="preserve"> </w:t>
      </w:r>
      <w:r>
        <w:t>different sized bomb blasts</w:t>
      </w:r>
      <w:r>
        <w:rPr>
          <w:spacing w:val="1"/>
        </w:rPr>
        <w:t xml:space="preserve"> </w:t>
      </w:r>
      <w:r>
        <w:t>and/or biological/chemical</w:t>
      </w:r>
      <w:r>
        <w:rPr>
          <w:spacing w:val="1"/>
        </w:rPr>
        <w:t xml:space="preserve"> </w:t>
      </w:r>
      <w:r>
        <w:t>attacks and the financial</w:t>
      </w:r>
      <w:r>
        <w:rPr>
          <w:spacing w:val="1"/>
        </w:rPr>
        <w:t xml:space="preserve"> </w:t>
      </w:r>
      <w: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zones.</w:t>
      </w:r>
    </w:p>
    <w:p w14:paraId="42402FA2" w14:textId="77777777" w:rsidR="00591638" w:rsidRDefault="00796DDB">
      <w:pPr>
        <w:pStyle w:val="BodyText"/>
        <w:spacing w:line="273" w:lineRule="auto"/>
        <w:ind w:left="315" w:right="752"/>
      </w:pPr>
      <w:r>
        <w:t>An exclusion zone is an area that people are not</w:t>
      </w:r>
      <w:r>
        <w:rPr>
          <w:spacing w:val="-43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enter.</w:t>
      </w:r>
    </w:p>
    <w:p w14:paraId="42402FA3" w14:textId="77777777" w:rsidR="00591638" w:rsidRDefault="00796DDB">
      <w:pPr>
        <w:pStyle w:val="BodyText"/>
        <w:spacing w:before="179" w:line="273" w:lineRule="auto"/>
        <w:ind w:left="315" w:right="222"/>
      </w:pPr>
      <w:r>
        <w:t>However,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recommendations</w:t>
      </w:r>
      <w:r>
        <w:rPr>
          <w:spacing w:val="-4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zones.</w:t>
      </w:r>
    </w:p>
    <w:p w14:paraId="42402FA4" w14:textId="77777777" w:rsidR="00591638" w:rsidRDefault="00591638">
      <w:pPr>
        <w:pStyle w:val="BodyText"/>
        <w:spacing w:before="10"/>
        <w:rPr>
          <w:sz w:val="14"/>
        </w:rPr>
      </w:pPr>
    </w:p>
    <w:p w14:paraId="42402FA5" w14:textId="77777777" w:rsidR="00591638" w:rsidRDefault="00796DDB">
      <w:pPr>
        <w:pStyle w:val="BodyText"/>
        <w:ind w:left="315"/>
      </w:pPr>
      <w:r>
        <w:rPr>
          <w:color w:val="002E64"/>
        </w:rPr>
        <w:t>In</w:t>
      </w:r>
      <w:r>
        <w:rPr>
          <w:color w:val="002E64"/>
          <w:spacing w:val="-1"/>
        </w:rPr>
        <w:t xml:space="preserve"> </w:t>
      </w:r>
      <w:r>
        <w:rPr>
          <w:color w:val="002E64"/>
        </w:rPr>
        <w:t>summary</w:t>
      </w:r>
    </w:p>
    <w:p w14:paraId="42402FA6" w14:textId="77777777" w:rsidR="00591638" w:rsidRDefault="00591638">
      <w:pPr>
        <w:pStyle w:val="BodyText"/>
        <w:spacing w:before="7"/>
        <w:rPr>
          <w:sz w:val="17"/>
        </w:rPr>
      </w:pPr>
    </w:p>
    <w:p w14:paraId="42402FA7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line="273" w:lineRule="auto"/>
        <w:ind w:left="675" w:right="254"/>
        <w:rPr>
          <w:sz w:val="20"/>
        </w:rPr>
      </w:pPr>
      <w:r>
        <w:rPr>
          <w:color w:val="131212"/>
          <w:sz w:val="20"/>
        </w:rPr>
        <w:t>Exclusion zones are a necessary tool which should</w:t>
      </w:r>
      <w:r>
        <w:rPr>
          <w:color w:val="131212"/>
          <w:spacing w:val="-44"/>
          <w:sz w:val="20"/>
        </w:rPr>
        <w:t xml:space="preserve"> </w:t>
      </w:r>
      <w:r>
        <w:rPr>
          <w:color w:val="131212"/>
          <w:sz w:val="20"/>
        </w:rPr>
        <w:t>be used to reduce the risk to the public, stabilize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property and assist the post-event investigation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process.</w:t>
      </w:r>
    </w:p>
    <w:p w14:paraId="42402FA8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123" w:line="273" w:lineRule="auto"/>
        <w:ind w:left="675" w:right="460"/>
        <w:rPr>
          <w:sz w:val="20"/>
        </w:rPr>
      </w:pPr>
      <w:r>
        <w:rPr>
          <w:color w:val="131212"/>
          <w:sz w:val="20"/>
        </w:rPr>
        <w:t>Business interruption or prevention of access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losses from the application of widespread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exclusion zones can result in up to 10 times the</w:t>
      </w:r>
      <w:r>
        <w:rPr>
          <w:color w:val="131212"/>
          <w:spacing w:val="-43"/>
          <w:sz w:val="20"/>
        </w:rPr>
        <w:t xml:space="preserve"> </w:t>
      </w:r>
      <w:r>
        <w:rPr>
          <w:color w:val="131212"/>
          <w:sz w:val="20"/>
        </w:rPr>
        <w:t>insured loss expected from within the physical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damage</w:t>
      </w:r>
      <w:r>
        <w:rPr>
          <w:color w:val="131212"/>
          <w:spacing w:val="-2"/>
          <w:sz w:val="20"/>
        </w:rPr>
        <w:t xml:space="preserve"> </w:t>
      </w:r>
      <w:r>
        <w:rPr>
          <w:color w:val="131212"/>
          <w:sz w:val="20"/>
        </w:rPr>
        <w:t>footprint.</w:t>
      </w:r>
    </w:p>
    <w:p w14:paraId="42402FA9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122" w:line="273" w:lineRule="auto"/>
        <w:ind w:left="675" w:right="187"/>
        <w:rPr>
          <w:sz w:val="20"/>
        </w:rPr>
      </w:pPr>
      <w:r>
        <w:rPr>
          <w:color w:val="131212"/>
          <w:sz w:val="20"/>
        </w:rPr>
        <w:t>Analysis of large and moderately sized cities shows</w:t>
      </w:r>
      <w:r>
        <w:rPr>
          <w:color w:val="131212"/>
          <w:spacing w:val="-43"/>
          <w:sz w:val="20"/>
        </w:rPr>
        <w:t xml:space="preserve"> </w:t>
      </w:r>
      <w:r>
        <w:rPr>
          <w:color w:val="131212"/>
          <w:sz w:val="20"/>
        </w:rPr>
        <w:t>that business interruption losses are extremely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sensitive to the size of the exclusion zo</w:t>
      </w:r>
      <w:r>
        <w:rPr>
          <w:color w:val="131212"/>
          <w:sz w:val="20"/>
        </w:rPr>
        <w:t>ne set by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the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emergency responders.</w:t>
      </w:r>
    </w:p>
    <w:p w14:paraId="42402FAA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121" w:line="273" w:lineRule="auto"/>
        <w:ind w:left="675" w:right="314"/>
        <w:rPr>
          <w:sz w:val="20"/>
        </w:rPr>
      </w:pPr>
      <w:r>
        <w:rPr>
          <w:color w:val="131212"/>
          <w:sz w:val="20"/>
        </w:rPr>
        <w:t>ARPC, in conjunction with other government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agencies and departments, has developed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terrorism blast and plume catastrophe models to</w:t>
      </w:r>
      <w:r>
        <w:rPr>
          <w:color w:val="131212"/>
          <w:spacing w:val="-43"/>
          <w:sz w:val="20"/>
        </w:rPr>
        <w:t xml:space="preserve"> </w:t>
      </w:r>
      <w:r>
        <w:rPr>
          <w:color w:val="131212"/>
          <w:sz w:val="20"/>
        </w:rPr>
        <w:t>estimate losses from damage to buildings and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exclusion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zones.</w:t>
      </w:r>
    </w:p>
    <w:p w14:paraId="42402FAB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6"/>
        </w:tabs>
        <w:spacing w:before="123" w:line="273" w:lineRule="auto"/>
        <w:ind w:left="675" w:right="163"/>
        <w:jc w:val="both"/>
        <w:rPr>
          <w:sz w:val="20"/>
        </w:rPr>
      </w:pPr>
      <w:r>
        <w:rPr>
          <w:color w:val="131212"/>
          <w:sz w:val="20"/>
        </w:rPr>
        <w:t>Exclusion zones that encompass (or are set amidst)</w:t>
      </w:r>
      <w:r>
        <w:rPr>
          <w:color w:val="131212"/>
          <w:spacing w:val="-44"/>
          <w:sz w:val="20"/>
        </w:rPr>
        <w:t xml:space="preserve"> </w:t>
      </w:r>
      <w:r>
        <w:rPr>
          <w:color w:val="131212"/>
          <w:sz w:val="20"/>
        </w:rPr>
        <w:t>a high density of businesses will result in increased</w:t>
      </w:r>
      <w:r>
        <w:rPr>
          <w:color w:val="131212"/>
          <w:spacing w:val="-43"/>
          <w:sz w:val="20"/>
        </w:rPr>
        <w:t xml:space="preserve"> </w:t>
      </w:r>
      <w:r>
        <w:rPr>
          <w:color w:val="131212"/>
          <w:sz w:val="20"/>
        </w:rPr>
        <w:t>business</w:t>
      </w:r>
      <w:r>
        <w:rPr>
          <w:color w:val="131212"/>
          <w:spacing w:val="-2"/>
          <w:sz w:val="20"/>
        </w:rPr>
        <w:t xml:space="preserve"> </w:t>
      </w:r>
      <w:r>
        <w:rPr>
          <w:color w:val="131212"/>
          <w:sz w:val="20"/>
        </w:rPr>
        <w:t>interruption</w:t>
      </w:r>
      <w:r>
        <w:rPr>
          <w:color w:val="131212"/>
          <w:spacing w:val="-2"/>
          <w:sz w:val="20"/>
        </w:rPr>
        <w:t xml:space="preserve"> </w:t>
      </w:r>
      <w:r>
        <w:rPr>
          <w:color w:val="131212"/>
          <w:sz w:val="20"/>
        </w:rPr>
        <w:t>losses.</w:t>
      </w:r>
    </w:p>
    <w:p w14:paraId="42402FAC" w14:textId="77777777" w:rsidR="00591638" w:rsidRDefault="00591638">
      <w:pPr>
        <w:spacing w:line="273" w:lineRule="auto"/>
        <w:jc w:val="both"/>
        <w:rPr>
          <w:sz w:val="20"/>
        </w:rPr>
        <w:sectPr w:rsidR="00591638">
          <w:type w:val="continuous"/>
          <w:pgSz w:w="11910" w:h="16840"/>
          <w:pgMar w:top="1600" w:right="980" w:bottom="280" w:left="820" w:header="916" w:footer="0" w:gutter="0"/>
          <w:cols w:num="2" w:space="720" w:equalWidth="0">
            <w:col w:w="4809" w:space="364"/>
            <w:col w:w="4937"/>
          </w:cols>
        </w:sectPr>
      </w:pPr>
    </w:p>
    <w:p w14:paraId="42402FAD" w14:textId="77777777" w:rsidR="00591638" w:rsidRDefault="00591638">
      <w:pPr>
        <w:pStyle w:val="BodyText"/>
        <w:spacing w:before="3"/>
        <w:rPr>
          <w:sz w:val="16"/>
        </w:rPr>
      </w:pPr>
    </w:p>
    <w:p w14:paraId="42402FAE" w14:textId="77777777" w:rsidR="00591638" w:rsidRDefault="00591638">
      <w:pPr>
        <w:rPr>
          <w:sz w:val="16"/>
        </w:rPr>
        <w:sectPr w:rsidR="00591638">
          <w:pgSz w:w="11910" w:h="16840"/>
          <w:pgMar w:top="1760" w:right="980" w:bottom="280" w:left="820" w:header="916" w:footer="0" w:gutter="0"/>
          <w:cols w:space="720"/>
        </w:sectPr>
      </w:pPr>
    </w:p>
    <w:p w14:paraId="42402FAF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89" w:line="276" w:lineRule="auto"/>
        <w:ind w:right="131"/>
        <w:rPr>
          <w:sz w:val="20"/>
        </w:rPr>
      </w:pPr>
      <w:r>
        <w:rPr>
          <w:color w:val="131212"/>
          <w:sz w:val="20"/>
        </w:rPr>
        <w:t>Most SME businesses are uninsured for business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interruption</w:t>
      </w:r>
      <w:r>
        <w:rPr>
          <w:color w:val="131212"/>
          <w:spacing w:val="-6"/>
          <w:sz w:val="20"/>
        </w:rPr>
        <w:t xml:space="preserve"> </w:t>
      </w:r>
      <w:r>
        <w:rPr>
          <w:color w:val="131212"/>
          <w:sz w:val="20"/>
        </w:rPr>
        <w:t>suffered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due</w:t>
      </w:r>
      <w:r>
        <w:rPr>
          <w:color w:val="131212"/>
          <w:spacing w:val="-4"/>
          <w:sz w:val="20"/>
        </w:rPr>
        <w:t xml:space="preserve"> </w:t>
      </w:r>
      <w:r>
        <w:rPr>
          <w:color w:val="131212"/>
          <w:sz w:val="20"/>
        </w:rPr>
        <w:t>to</w:t>
      </w:r>
      <w:r>
        <w:rPr>
          <w:color w:val="131212"/>
          <w:spacing w:val="-4"/>
          <w:sz w:val="20"/>
        </w:rPr>
        <w:t xml:space="preserve"> </w:t>
      </w:r>
      <w:r>
        <w:rPr>
          <w:color w:val="131212"/>
          <w:sz w:val="20"/>
        </w:rPr>
        <w:t>prevention</w:t>
      </w:r>
      <w:r>
        <w:rPr>
          <w:color w:val="131212"/>
          <w:spacing w:val="-4"/>
          <w:sz w:val="20"/>
        </w:rPr>
        <w:t xml:space="preserve"> </w:t>
      </w:r>
      <w:r>
        <w:rPr>
          <w:color w:val="131212"/>
          <w:sz w:val="20"/>
        </w:rPr>
        <w:t>of</w:t>
      </w:r>
      <w:r>
        <w:rPr>
          <w:color w:val="131212"/>
          <w:spacing w:val="-4"/>
          <w:sz w:val="20"/>
        </w:rPr>
        <w:t xml:space="preserve"> </w:t>
      </w:r>
      <w:r>
        <w:rPr>
          <w:color w:val="131212"/>
          <w:sz w:val="20"/>
        </w:rPr>
        <w:t>access.</w:t>
      </w:r>
    </w:p>
    <w:p w14:paraId="42402FB0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18" w:line="273" w:lineRule="auto"/>
        <w:ind w:right="187"/>
        <w:rPr>
          <w:sz w:val="20"/>
        </w:rPr>
      </w:pPr>
      <w:r>
        <w:rPr>
          <w:color w:val="131212"/>
          <w:sz w:val="20"/>
        </w:rPr>
        <w:t>Standoff</w:t>
      </w:r>
      <w:r>
        <w:rPr>
          <w:color w:val="131212"/>
          <w:spacing w:val="-4"/>
          <w:sz w:val="20"/>
        </w:rPr>
        <w:t xml:space="preserve"> </w:t>
      </w:r>
      <w:r>
        <w:rPr>
          <w:color w:val="131212"/>
          <w:sz w:val="20"/>
        </w:rPr>
        <w:t>guidance</w:t>
      </w:r>
      <w:r>
        <w:rPr>
          <w:color w:val="131212"/>
          <w:spacing w:val="-5"/>
          <w:sz w:val="20"/>
        </w:rPr>
        <w:t xml:space="preserve"> </w:t>
      </w:r>
      <w:r>
        <w:rPr>
          <w:color w:val="131212"/>
          <w:sz w:val="20"/>
        </w:rPr>
        <w:t>tables</w:t>
      </w:r>
      <w:r>
        <w:rPr>
          <w:color w:val="131212"/>
          <w:spacing w:val="-5"/>
          <w:sz w:val="20"/>
        </w:rPr>
        <w:t xml:space="preserve"> </w:t>
      </w:r>
      <w:r>
        <w:rPr>
          <w:color w:val="131212"/>
          <w:sz w:val="20"/>
        </w:rPr>
        <w:t>vary</w:t>
      </w:r>
      <w:r>
        <w:rPr>
          <w:color w:val="131212"/>
          <w:spacing w:val="-4"/>
          <w:sz w:val="20"/>
        </w:rPr>
        <w:t xml:space="preserve"> </w:t>
      </w:r>
      <w:r>
        <w:rPr>
          <w:color w:val="131212"/>
          <w:sz w:val="20"/>
        </w:rPr>
        <w:t>greatly</w:t>
      </w:r>
      <w:r>
        <w:rPr>
          <w:color w:val="131212"/>
          <w:spacing w:val="-4"/>
          <w:sz w:val="20"/>
        </w:rPr>
        <w:t xml:space="preserve"> </w:t>
      </w:r>
      <w:r>
        <w:rPr>
          <w:color w:val="131212"/>
          <w:sz w:val="20"/>
        </w:rPr>
        <w:t>highlighting</w:t>
      </w:r>
      <w:r>
        <w:rPr>
          <w:color w:val="131212"/>
          <w:spacing w:val="-42"/>
          <w:sz w:val="20"/>
        </w:rPr>
        <w:t xml:space="preserve"> </w:t>
      </w:r>
      <w:r>
        <w:rPr>
          <w:color w:val="131212"/>
          <w:sz w:val="20"/>
        </w:rPr>
        <w:t>the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uncertainty of such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events.</w:t>
      </w:r>
    </w:p>
    <w:p w14:paraId="42402FB1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20" w:line="273" w:lineRule="auto"/>
        <w:ind w:right="99"/>
        <w:rPr>
          <w:sz w:val="20"/>
        </w:rPr>
      </w:pPr>
      <w:r>
        <w:rPr>
          <w:color w:val="131212"/>
          <w:sz w:val="20"/>
        </w:rPr>
        <w:t>Biochemical</w:t>
      </w:r>
      <w:r>
        <w:rPr>
          <w:color w:val="131212"/>
          <w:spacing w:val="-3"/>
          <w:sz w:val="20"/>
        </w:rPr>
        <w:t xml:space="preserve"> </w:t>
      </w:r>
      <w:r>
        <w:rPr>
          <w:color w:val="131212"/>
          <w:sz w:val="20"/>
        </w:rPr>
        <w:t>attacks</w:t>
      </w:r>
      <w:r>
        <w:rPr>
          <w:color w:val="131212"/>
          <w:spacing w:val="-3"/>
          <w:sz w:val="20"/>
        </w:rPr>
        <w:t xml:space="preserve"> </w:t>
      </w:r>
      <w:r>
        <w:rPr>
          <w:color w:val="131212"/>
          <w:sz w:val="20"/>
        </w:rPr>
        <w:t>tend</w:t>
      </w:r>
      <w:r>
        <w:rPr>
          <w:color w:val="131212"/>
          <w:spacing w:val="-4"/>
          <w:sz w:val="20"/>
        </w:rPr>
        <w:t xml:space="preserve"> </w:t>
      </w:r>
      <w:r>
        <w:rPr>
          <w:color w:val="131212"/>
          <w:sz w:val="20"/>
        </w:rPr>
        <w:t>to</w:t>
      </w:r>
      <w:r>
        <w:rPr>
          <w:color w:val="131212"/>
          <w:spacing w:val="-3"/>
          <w:sz w:val="20"/>
        </w:rPr>
        <w:t xml:space="preserve"> </w:t>
      </w:r>
      <w:r>
        <w:rPr>
          <w:color w:val="131212"/>
          <w:sz w:val="20"/>
        </w:rPr>
        <w:t>result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in</w:t>
      </w:r>
      <w:r>
        <w:rPr>
          <w:color w:val="131212"/>
          <w:spacing w:val="-2"/>
          <w:sz w:val="20"/>
        </w:rPr>
        <w:t xml:space="preserve"> </w:t>
      </w:r>
      <w:r>
        <w:rPr>
          <w:color w:val="131212"/>
          <w:sz w:val="20"/>
        </w:rPr>
        <w:t>high</w:t>
      </w:r>
      <w:r>
        <w:rPr>
          <w:color w:val="131212"/>
          <w:spacing w:val="-2"/>
          <w:sz w:val="20"/>
        </w:rPr>
        <w:t xml:space="preserve"> </w:t>
      </w:r>
      <w:r>
        <w:rPr>
          <w:color w:val="131212"/>
          <w:sz w:val="20"/>
        </w:rPr>
        <w:t>business</w:t>
      </w:r>
      <w:r>
        <w:rPr>
          <w:color w:val="131212"/>
          <w:spacing w:val="-43"/>
          <w:sz w:val="20"/>
        </w:rPr>
        <w:t xml:space="preserve"> </w:t>
      </w:r>
      <w:r>
        <w:rPr>
          <w:color w:val="131212"/>
          <w:sz w:val="20"/>
        </w:rPr>
        <w:t>interruption losses, with longer-term impacts, due</w:t>
      </w:r>
      <w:r>
        <w:rPr>
          <w:color w:val="131212"/>
          <w:spacing w:val="-43"/>
          <w:sz w:val="20"/>
        </w:rPr>
        <w:t xml:space="preserve"> </w:t>
      </w:r>
      <w:bookmarkStart w:id="3" w:name="_bookmark3"/>
      <w:bookmarkEnd w:id="3"/>
      <w:r>
        <w:rPr>
          <w:color w:val="131212"/>
          <w:sz w:val="20"/>
        </w:rPr>
        <w:t>to the ability of these material</w:t>
      </w:r>
      <w:r>
        <w:rPr>
          <w:color w:val="131212"/>
          <w:sz w:val="20"/>
        </w:rPr>
        <w:t>s to spread far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beyond the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immediate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danger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zone.</w:t>
      </w:r>
    </w:p>
    <w:p w14:paraId="42402FB2" w14:textId="77777777" w:rsidR="00591638" w:rsidRDefault="00796DDB">
      <w:pPr>
        <w:pStyle w:val="BodyText"/>
        <w:spacing w:before="123" w:line="273" w:lineRule="auto"/>
        <w:ind w:left="312" w:right="31"/>
      </w:pPr>
      <w:r>
        <w:rPr>
          <w:color w:val="002E64"/>
        </w:rPr>
        <w:t>To access a full copy of the research, including case</w:t>
      </w:r>
      <w:r>
        <w:rPr>
          <w:color w:val="002E64"/>
          <w:spacing w:val="1"/>
        </w:rPr>
        <w:t xml:space="preserve"> </w:t>
      </w:r>
      <w:r>
        <w:rPr>
          <w:color w:val="002E64"/>
        </w:rPr>
        <w:t>studies, complete a digital request form on our website</w:t>
      </w:r>
      <w:r>
        <w:rPr>
          <w:color w:val="002E64"/>
          <w:spacing w:val="-43"/>
        </w:rPr>
        <w:t xml:space="preserve"> </w:t>
      </w:r>
      <w:hyperlink r:id="rId21">
        <w:r>
          <w:rPr>
            <w:color w:val="002E64"/>
            <w:u w:val="single" w:color="002E64"/>
          </w:rPr>
          <w:t>here</w:t>
        </w:r>
        <w:r>
          <w:rPr>
            <w:color w:val="002E64"/>
          </w:rPr>
          <w:t>.</w:t>
        </w:r>
      </w:hyperlink>
    </w:p>
    <w:p w14:paraId="42402FB3" w14:textId="77777777" w:rsidR="00591638" w:rsidRDefault="00591638">
      <w:pPr>
        <w:pStyle w:val="BodyText"/>
      </w:pPr>
    </w:p>
    <w:p w14:paraId="42402FB4" w14:textId="77777777" w:rsidR="00591638" w:rsidRDefault="00591638">
      <w:pPr>
        <w:pStyle w:val="BodyText"/>
        <w:spacing w:before="11"/>
        <w:rPr>
          <w:sz w:val="21"/>
        </w:rPr>
      </w:pPr>
    </w:p>
    <w:p w14:paraId="42402FB5" w14:textId="77777777" w:rsidR="00591638" w:rsidRDefault="00796DDB">
      <w:pPr>
        <w:pStyle w:val="BodyText"/>
        <w:spacing w:line="20" w:lineRule="exact"/>
        <w:ind w:left="314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42402FF7">
          <v:group id="docshapegroup14" o:spid="_x0000_s1027" style="width:225.75pt;height:.75pt;mso-position-horizontal-relative:char;mso-position-vertical-relative:line" coordsize="4515,15">
            <v:line id="_x0000_s1028" style="position:absolute" from="0,8" to="4515,8" strokecolor="#b9371b"/>
            <w10:anchorlock/>
          </v:group>
        </w:pict>
      </w:r>
    </w:p>
    <w:p w14:paraId="42402FB6" w14:textId="77777777" w:rsidR="00591638" w:rsidRDefault="00591638">
      <w:pPr>
        <w:pStyle w:val="BodyText"/>
      </w:pPr>
    </w:p>
    <w:p w14:paraId="42402FB7" w14:textId="77777777" w:rsidR="00591638" w:rsidRDefault="00591638">
      <w:pPr>
        <w:pStyle w:val="BodyText"/>
        <w:spacing w:before="2"/>
        <w:rPr>
          <w:sz w:val="21"/>
        </w:rPr>
      </w:pPr>
    </w:p>
    <w:p w14:paraId="42402FB8" w14:textId="77777777" w:rsidR="00591638" w:rsidRDefault="00796DDB">
      <w:pPr>
        <w:pStyle w:val="Heading1"/>
      </w:pPr>
      <w:r>
        <w:rPr>
          <w:color w:val="002E64"/>
        </w:rPr>
        <w:t>Reports</w:t>
      </w:r>
      <w:r>
        <w:rPr>
          <w:color w:val="002E64"/>
          <w:spacing w:val="-4"/>
        </w:rPr>
        <w:t xml:space="preserve"> </w:t>
      </w:r>
      <w:r>
        <w:rPr>
          <w:color w:val="002E64"/>
        </w:rPr>
        <w:t>due</w:t>
      </w:r>
    </w:p>
    <w:p w14:paraId="42402FB9" w14:textId="77777777" w:rsidR="00591638" w:rsidRDefault="00796DDB">
      <w:pPr>
        <w:pStyle w:val="BodyText"/>
        <w:spacing w:before="122" w:line="288" w:lineRule="auto"/>
        <w:ind w:left="312" w:right="46"/>
      </w:pPr>
      <w:r>
        <w:t>Please see below a breakdown of the reports due to be</w:t>
      </w:r>
      <w:r>
        <w:rPr>
          <w:spacing w:val="-44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ARPC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coming months.</w:t>
      </w:r>
    </w:p>
    <w:p w14:paraId="42402FBA" w14:textId="77777777" w:rsidR="00591638" w:rsidRDefault="0059163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320" w:type="dxa"/>
        <w:tblBorders>
          <w:top w:val="single" w:sz="4" w:space="0" w:color="131212"/>
          <w:left w:val="single" w:sz="4" w:space="0" w:color="131212"/>
          <w:bottom w:val="single" w:sz="4" w:space="0" w:color="131212"/>
          <w:right w:val="single" w:sz="4" w:space="0" w:color="131212"/>
          <w:insideH w:val="single" w:sz="4" w:space="0" w:color="131212"/>
          <w:insideV w:val="single" w:sz="4" w:space="0" w:color="13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909"/>
      </w:tblGrid>
      <w:tr w:rsidR="00591638" w14:paraId="42402FBD" w14:textId="77777777">
        <w:trPr>
          <w:trHeight w:val="474"/>
        </w:trPr>
        <w:tc>
          <w:tcPr>
            <w:tcW w:w="2547" w:type="dxa"/>
            <w:shd w:val="clear" w:color="auto" w:fill="002E64"/>
          </w:tcPr>
          <w:p w14:paraId="42402FBB" w14:textId="77777777" w:rsidR="00591638" w:rsidRDefault="00796DDB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FFFFFF"/>
                <w:sz w:val="20"/>
              </w:rPr>
              <w:t>Report</w:t>
            </w:r>
          </w:p>
        </w:tc>
        <w:tc>
          <w:tcPr>
            <w:tcW w:w="1909" w:type="dxa"/>
            <w:shd w:val="clear" w:color="auto" w:fill="002E64"/>
          </w:tcPr>
          <w:p w14:paraId="42402FBC" w14:textId="77777777" w:rsidR="00591638" w:rsidRDefault="00796DDB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Due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date</w:t>
            </w:r>
          </w:p>
        </w:tc>
      </w:tr>
      <w:tr w:rsidR="00591638" w14:paraId="42402FC0" w14:textId="77777777">
        <w:trPr>
          <w:trHeight w:val="1057"/>
        </w:trPr>
        <w:tc>
          <w:tcPr>
            <w:tcW w:w="2547" w:type="dxa"/>
            <w:tcBorders>
              <w:bottom w:val="single" w:sz="4" w:space="0" w:color="093067"/>
              <w:right w:val="single" w:sz="4" w:space="0" w:color="093067"/>
            </w:tcBorders>
            <w:shd w:val="clear" w:color="auto" w:fill="EAEEF9"/>
          </w:tcPr>
          <w:p w14:paraId="42402FBE" w14:textId="77777777" w:rsidR="00591638" w:rsidRDefault="00796DDB">
            <w:pPr>
              <w:pStyle w:val="TableParagraph"/>
              <w:spacing w:line="288" w:lineRule="auto"/>
              <w:ind w:right="458"/>
              <w:rPr>
                <w:sz w:val="20"/>
              </w:rPr>
            </w:pPr>
            <w:r>
              <w:rPr>
                <w:sz w:val="20"/>
              </w:rPr>
              <w:t>Premium reports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payments for the period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  <w:tc>
          <w:tcPr>
            <w:tcW w:w="1909" w:type="dxa"/>
            <w:tcBorders>
              <w:left w:val="single" w:sz="4" w:space="0" w:color="093067"/>
              <w:bottom w:val="single" w:sz="4" w:space="0" w:color="093067"/>
            </w:tcBorders>
          </w:tcPr>
          <w:p w14:paraId="42402FBF" w14:textId="77777777" w:rsidR="00591638" w:rsidRDefault="00796DD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591638" w14:paraId="42402FC3" w14:textId="77777777">
        <w:trPr>
          <w:trHeight w:val="765"/>
        </w:trPr>
        <w:tc>
          <w:tcPr>
            <w:tcW w:w="2547" w:type="dxa"/>
            <w:tcBorders>
              <w:top w:val="single" w:sz="4" w:space="0" w:color="093067"/>
              <w:bottom w:val="single" w:sz="4" w:space="0" w:color="093067"/>
              <w:right w:val="single" w:sz="4" w:space="0" w:color="093067"/>
            </w:tcBorders>
            <w:shd w:val="clear" w:color="auto" w:fill="EAEEF9"/>
          </w:tcPr>
          <w:p w14:paraId="42402FC1" w14:textId="77777777" w:rsidR="00591638" w:rsidRDefault="00796DDB">
            <w:pPr>
              <w:pStyle w:val="TableParagraph"/>
              <w:spacing w:line="288" w:lineRule="auto"/>
              <w:ind w:right="150"/>
              <w:rPr>
                <w:sz w:val="20"/>
              </w:rPr>
            </w:pPr>
            <w:r>
              <w:rPr>
                <w:sz w:val="20"/>
              </w:rPr>
              <w:t>Annual aggregate reports as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June</w:t>
            </w:r>
          </w:p>
        </w:tc>
        <w:tc>
          <w:tcPr>
            <w:tcW w:w="1909" w:type="dxa"/>
            <w:tcBorders>
              <w:top w:val="single" w:sz="4" w:space="0" w:color="093067"/>
              <w:left w:val="single" w:sz="4" w:space="0" w:color="093067"/>
              <w:bottom w:val="single" w:sz="4" w:space="0" w:color="093067"/>
            </w:tcBorders>
          </w:tcPr>
          <w:p w14:paraId="42402FC2" w14:textId="77777777" w:rsidR="00591638" w:rsidRDefault="00796DD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591638" w14:paraId="42402FC6" w14:textId="77777777">
        <w:trPr>
          <w:trHeight w:val="767"/>
        </w:trPr>
        <w:tc>
          <w:tcPr>
            <w:tcW w:w="2547" w:type="dxa"/>
            <w:tcBorders>
              <w:top w:val="single" w:sz="4" w:space="0" w:color="093067"/>
              <w:bottom w:val="single" w:sz="4" w:space="0" w:color="093067"/>
              <w:right w:val="single" w:sz="4" w:space="0" w:color="093067"/>
            </w:tcBorders>
            <w:shd w:val="clear" w:color="auto" w:fill="EAEEF9"/>
          </w:tcPr>
          <w:p w14:paraId="42402FC4" w14:textId="77777777" w:rsidR="00591638" w:rsidRDefault="00796DDB">
            <w:pPr>
              <w:pStyle w:val="TableParagraph"/>
              <w:spacing w:before="3" w:line="288" w:lineRule="auto"/>
              <w:ind w:right="655"/>
              <w:rPr>
                <w:sz w:val="20"/>
              </w:rPr>
            </w:pPr>
            <w:r>
              <w:rPr>
                <w:sz w:val="20"/>
              </w:rPr>
              <w:t>Annual gross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declarations</w:t>
            </w:r>
          </w:p>
        </w:tc>
        <w:tc>
          <w:tcPr>
            <w:tcW w:w="1909" w:type="dxa"/>
            <w:tcBorders>
              <w:top w:val="single" w:sz="4" w:space="0" w:color="093067"/>
              <w:left w:val="single" w:sz="4" w:space="0" w:color="093067"/>
              <w:bottom w:val="single" w:sz="4" w:space="0" w:color="093067"/>
            </w:tcBorders>
          </w:tcPr>
          <w:p w14:paraId="42402FC5" w14:textId="77777777" w:rsidR="00591638" w:rsidRDefault="00796DDB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</w:tbl>
    <w:p w14:paraId="42402FC7" w14:textId="77777777" w:rsidR="00591638" w:rsidRDefault="00591638">
      <w:pPr>
        <w:pStyle w:val="BodyText"/>
      </w:pPr>
    </w:p>
    <w:p w14:paraId="42402FC8" w14:textId="77777777" w:rsidR="00591638" w:rsidRDefault="00591638">
      <w:pPr>
        <w:pStyle w:val="BodyText"/>
        <w:spacing w:before="11"/>
        <w:rPr>
          <w:sz w:val="18"/>
        </w:rPr>
      </w:pPr>
    </w:p>
    <w:p w14:paraId="42402FC9" w14:textId="77777777" w:rsidR="00591638" w:rsidRDefault="00796DDB">
      <w:pPr>
        <w:pStyle w:val="Heading1"/>
      </w:pPr>
      <w:r>
        <w:rPr>
          <w:color w:val="093067"/>
        </w:rPr>
        <w:t>Annual</w:t>
      </w:r>
      <w:r>
        <w:rPr>
          <w:color w:val="093067"/>
          <w:spacing w:val="-3"/>
        </w:rPr>
        <w:t xml:space="preserve"> </w:t>
      </w:r>
      <w:r>
        <w:rPr>
          <w:color w:val="093067"/>
        </w:rPr>
        <w:t>aggregate</w:t>
      </w:r>
      <w:r>
        <w:rPr>
          <w:color w:val="093067"/>
          <w:spacing w:val="-4"/>
        </w:rPr>
        <w:t xml:space="preserve"> </w:t>
      </w:r>
      <w:r>
        <w:rPr>
          <w:color w:val="093067"/>
        </w:rPr>
        <w:t>exposure</w:t>
      </w:r>
      <w:r>
        <w:rPr>
          <w:color w:val="093067"/>
          <w:spacing w:val="-2"/>
        </w:rPr>
        <w:t xml:space="preserve"> </w:t>
      </w:r>
      <w:r>
        <w:rPr>
          <w:color w:val="093067"/>
        </w:rPr>
        <w:t>reports</w:t>
      </w:r>
    </w:p>
    <w:p w14:paraId="42402FCA" w14:textId="77777777" w:rsidR="00591638" w:rsidRDefault="00796DDB">
      <w:pPr>
        <w:pStyle w:val="BodyText"/>
        <w:spacing w:before="122" w:line="285" w:lineRule="auto"/>
        <w:ind w:left="312" w:right="31"/>
      </w:pPr>
      <w:r>
        <w:rPr>
          <w:color w:val="424242"/>
        </w:rPr>
        <w:t>The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annual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aggregate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reports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snapshot</w:t>
      </w:r>
      <w:r>
        <w:rPr>
          <w:color w:val="424242"/>
          <w:spacing w:val="-2"/>
        </w:rPr>
        <w:t xml:space="preserve"> </w:t>
      </w:r>
      <w:proofErr w:type="gramStart"/>
      <w:r>
        <w:rPr>
          <w:color w:val="424242"/>
        </w:rPr>
        <w:t>at</w:t>
      </w:r>
      <w:proofErr w:type="gramEnd"/>
      <w:r>
        <w:rPr>
          <w:color w:val="424242"/>
          <w:spacing w:val="-4"/>
        </w:rPr>
        <w:t xml:space="preserve"> </w:t>
      </w:r>
      <w:r>
        <w:rPr>
          <w:color w:val="424242"/>
        </w:rPr>
        <w:t>30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June</w:t>
      </w:r>
      <w:r>
        <w:rPr>
          <w:color w:val="424242"/>
          <w:spacing w:val="-43"/>
        </w:rPr>
        <w:t xml:space="preserve"> </w:t>
      </w:r>
      <w:r>
        <w:rPr>
          <w:color w:val="424242"/>
        </w:rPr>
        <w:t>and are due by 30 August each year. When compiling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these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reports,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please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note:</w:t>
      </w:r>
    </w:p>
    <w:p w14:paraId="42402FCB" w14:textId="77777777" w:rsidR="00591638" w:rsidRDefault="00591638">
      <w:pPr>
        <w:pStyle w:val="BodyText"/>
        <w:rPr>
          <w:sz w:val="17"/>
        </w:rPr>
      </w:pPr>
    </w:p>
    <w:p w14:paraId="42402FCC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" w:line="273" w:lineRule="auto"/>
        <w:ind w:right="71"/>
        <w:rPr>
          <w:sz w:val="20"/>
        </w:rPr>
      </w:pPr>
      <w:r>
        <w:rPr>
          <w:color w:val="131212"/>
          <w:sz w:val="20"/>
        </w:rPr>
        <w:t>For ‘all risks ex construction works’, we require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clients to split sums insured between the building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contents</w:t>
      </w:r>
      <w:r>
        <w:rPr>
          <w:color w:val="131212"/>
          <w:spacing w:val="-6"/>
          <w:sz w:val="20"/>
        </w:rPr>
        <w:t xml:space="preserve"> </w:t>
      </w:r>
      <w:r>
        <w:rPr>
          <w:color w:val="131212"/>
          <w:sz w:val="20"/>
        </w:rPr>
        <w:t>and</w:t>
      </w:r>
      <w:r>
        <w:rPr>
          <w:color w:val="131212"/>
          <w:spacing w:val="-4"/>
          <w:sz w:val="20"/>
        </w:rPr>
        <w:t xml:space="preserve"> </w:t>
      </w:r>
      <w:r>
        <w:rPr>
          <w:color w:val="131212"/>
          <w:sz w:val="20"/>
        </w:rPr>
        <w:t>contents</w:t>
      </w:r>
      <w:r>
        <w:rPr>
          <w:color w:val="131212"/>
          <w:spacing w:val="-5"/>
          <w:sz w:val="20"/>
        </w:rPr>
        <w:t xml:space="preserve"> </w:t>
      </w:r>
      <w:r>
        <w:rPr>
          <w:color w:val="131212"/>
          <w:sz w:val="20"/>
        </w:rPr>
        <w:t>components.</w:t>
      </w:r>
      <w:r>
        <w:rPr>
          <w:color w:val="131212"/>
          <w:spacing w:val="-6"/>
          <w:sz w:val="20"/>
        </w:rPr>
        <w:t xml:space="preserve"> </w:t>
      </w:r>
      <w:r>
        <w:rPr>
          <w:color w:val="131212"/>
          <w:sz w:val="20"/>
        </w:rPr>
        <w:t>Clients</w:t>
      </w:r>
      <w:r>
        <w:rPr>
          <w:color w:val="131212"/>
          <w:spacing w:val="-5"/>
          <w:sz w:val="20"/>
        </w:rPr>
        <w:t xml:space="preserve"> </w:t>
      </w:r>
      <w:r>
        <w:rPr>
          <w:color w:val="131212"/>
          <w:sz w:val="20"/>
        </w:rPr>
        <w:t>should</w:t>
      </w:r>
      <w:r>
        <w:rPr>
          <w:color w:val="131212"/>
          <w:spacing w:val="-43"/>
          <w:sz w:val="20"/>
        </w:rPr>
        <w:t xml:space="preserve"> </w:t>
      </w:r>
      <w:r>
        <w:rPr>
          <w:color w:val="131212"/>
          <w:sz w:val="20"/>
        </w:rPr>
        <w:t>not be entering amounts in the combined building</w:t>
      </w:r>
      <w:r>
        <w:rPr>
          <w:color w:val="131212"/>
          <w:spacing w:val="-43"/>
          <w:sz w:val="20"/>
        </w:rPr>
        <w:t xml:space="preserve"> </w:t>
      </w:r>
      <w:r>
        <w:rPr>
          <w:color w:val="131212"/>
          <w:sz w:val="20"/>
        </w:rPr>
        <w:t>and contents column amounts without contacting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ARPC.</w:t>
      </w:r>
    </w:p>
    <w:p w14:paraId="42402FCD" w14:textId="77777777" w:rsidR="00591638" w:rsidRDefault="00796DDB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89" w:line="276" w:lineRule="auto"/>
        <w:ind w:right="283"/>
        <w:rPr>
          <w:sz w:val="20"/>
        </w:rPr>
      </w:pPr>
      <w:r>
        <w:rPr>
          <w:color w:val="131212"/>
          <w:w w:val="99"/>
          <w:sz w:val="20"/>
        </w:rPr>
        <w:br w:type="column"/>
      </w:r>
      <w:r>
        <w:rPr>
          <w:color w:val="131212"/>
          <w:sz w:val="20"/>
        </w:rPr>
        <w:t>Policies without a building risk (</w:t>
      </w:r>
      <w:proofErr w:type="gramStart"/>
      <w:r>
        <w:rPr>
          <w:color w:val="131212"/>
          <w:sz w:val="20"/>
        </w:rPr>
        <w:t>i.e.</w:t>
      </w:r>
      <w:proofErr w:type="gramEnd"/>
      <w:r>
        <w:rPr>
          <w:color w:val="131212"/>
          <w:sz w:val="20"/>
        </w:rPr>
        <w:t xml:space="preserve"> contents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and/or business interruption only policies) should</w:t>
      </w:r>
      <w:r>
        <w:rPr>
          <w:color w:val="131212"/>
          <w:spacing w:val="-44"/>
          <w:sz w:val="20"/>
        </w:rPr>
        <w:t xml:space="preserve"> </w:t>
      </w:r>
      <w:r>
        <w:rPr>
          <w:color w:val="131212"/>
          <w:sz w:val="20"/>
        </w:rPr>
        <w:t>not</w:t>
      </w:r>
      <w:r>
        <w:rPr>
          <w:color w:val="131212"/>
          <w:spacing w:val="-3"/>
          <w:sz w:val="20"/>
        </w:rPr>
        <w:t xml:space="preserve"> </w:t>
      </w:r>
      <w:r>
        <w:rPr>
          <w:color w:val="131212"/>
          <w:sz w:val="20"/>
        </w:rPr>
        <w:t>be</w:t>
      </w:r>
      <w:r>
        <w:rPr>
          <w:color w:val="131212"/>
          <w:spacing w:val="1"/>
          <w:sz w:val="20"/>
        </w:rPr>
        <w:t xml:space="preserve"> </w:t>
      </w:r>
      <w:r>
        <w:rPr>
          <w:color w:val="131212"/>
          <w:sz w:val="20"/>
        </w:rPr>
        <w:t>included</w:t>
      </w:r>
      <w:r>
        <w:rPr>
          <w:color w:val="131212"/>
          <w:spacing w:val="-2"/>
          <w:sz w:val="20"/>
        </w:rPr>
        <w:t xml:space="preserve"> </w:t>
      </w:r>
      <w:r>
        <w:rPr>
          <w:color w:val="131212"/>
          <w:sz w:val="20"/>
        </w:rPr>
        <w:t>in the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‘all</w:t>
      </w:r>
      <w:r>
        <w:rPr>
          <w:color w:val="131212"/>
          <w:spacing w:val="-2"/>
          <w:sz w:val="20"/>
        </w:rPr>
        <w:t xml:space="preserve"> </w:t>
      </w:r>
      <w:r>
        <w:rPr>
          <w:color w:val="131212"/>
          <w:sz w:val="20"/>
        </w:rPr>
        <w:t>risks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ex</w:t>
      </w:r>
      <w:r>
        <w:rPr>
          <w:color w:val="131212"/>
          <w:spacing w:val="-1"/>
          <w:sz w:val="20"/>
        </w:rPr>
        <w:t xml:space="preserve"> </w:t>
      </w:r>
      <w:r>
        <w:rPr>
          <w:color w:val="131212"/>
          <w:sz w:val="20"/>
        </w:rPr>
        <w:t>construction</w:t>
      </w:r>
    </w:p>
    <w:p w14:paraId="42402FCE" w14:textId="77777777" w:rsidR="00591638" w:rsidRDefault="00796DDB">
      <w:pPr>
        <w:pStyle w:val="BodyText"/>
        <w:spacing w:line="273" w:lineRule="auto"/>
        <w:ind w:left="673" w:right="245"/>
      </w:pPr>
      <w:r>
        <w:rPr>
          <w:color w:val="131212"/>
        </w:rPr>
        <w:t>works’ worksheet but should be included in the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‘Street Address’ worksheet. Street address data is</w:t>
      </w:r>
      <w:r>
        <w:rPr>
          <w:color w:val="131212"/>
          <w:spacing w:val="-43"/>
        </w:rPr>
        <w:t xml:space="preserve"> </w:t>
      </w:r>
      <w:r>
        <w:rPr>
          <w:color w:val="131212"/>
        </w:rPr>
        <w:t>required for the following major postcodes within</w:t>
      </w:r>
      <w:r>
        <w:rPr>
          <w:color w:val="131212"/>
          <w:spacing w:val="-44"/>
        </w:rPr>
        <w:t xml:space="preserve"> </w:t>
      </w:r>
      <w:r>
        <w:rPr>
          <w:color w:val="131212"/>
        </w:rPr>
        <w:t>tier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A locations:</w:t>
      </w:r>
    </w:p>
    <w:p w14:paraId="42402FCF" w14:textId="77777777" w:rsidR="00591638" w:rsidRDefault="00796DDB">
      <w:pPr>
        <w:pStyle w:val="BodyText"/>
        <w:ind w:left="673"/>
      </w:pPr>
      <w:r>
        <w:rPr>
          <w:color w:val="131212"/>
        </w:rPr>
        <w:t>2000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in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Sydney</w:t>
      </w:r>
    </w:p>
    <w:p w14:paraId="42402FD0" w14:textId="77777777" w:rsidR="00591638" w:rsidRDefault="00796DDB">
      <w:pPr>
        <w:pStyle w:val="BodyText"/>
        <w:spacing w:before="32"/>
        <w:ind w:left="673"/>
      </w:pPr>
      <w:r>
        <w:rPr>
          <w:color w:val="131212"/>
        </w:rPr>
        <w:t>3000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in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Melbourne</w:t>
      </w:r>
    </w:p>
    <w:p w14:paraId="42402FD1" w14:textId="77777777" w:rsidR="00591638" w:rsidRDefault="00796DDB">
      <w:pPr>
        <w:pStyle w:val="BodyText"/>
        <w:spacing w:before="35"/>
        <w:ind w:left="673"/>
      </w:pPr>
      <w:r>
        <w:rPr>
          <w:color w:val="131212"/>
        </w:rPr>
        <w:t>4000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in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Brisbane</w:t>
      </w:r>
    </w:p>
    <w:p w14:paraId="42402FD2" w14:textId="77777777" w:rsidR="00591638" w:rsidRDefault="00796DDB">
      <w:pPr>
        <w:pStyle w:val="BodyText"/>
        <w:spacing w:before="34"/>
        <w:ind w:left="673"/>
      </w:pPr>
      <w:r>
        <w:rPr>
          <w:color w:val="131212"/>
        </w:rPr>
        <w:t>5000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in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Adelaide</w:t>
      </w:r>
    </w:p>
    <w:p w14:paraId="42402FD3" w14:textId="77777777" w:rsidR="00591638" w:rsidRDefault="00796DDB">
      <w:pPr>
        <w:pStyle w:val="BodyText"/>
        <w:spacing w:before="34"/>
        <w:ind w:left="673"/>
      </w:pPr>
      <w:r>
        <w:rPr>
          <w:color w:val="131212"/>
        </w:rPr>
        <w:t>6000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in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Perth</w:t>
      </w:r>
    </w:p>
    <w:p w14:paraId="42402FD4" w14:textId="77777777" w:rsidR="00591638" w:rsidRDefault="00796DDB">
      <w:pPr>
        <w:pStyle w:val="BodyText"/>
        <w:spacing w:before="155" w:line="288" w:lineRule="auto"/>
        <w:ind w:left="312" w:right="442"/>
        <w:jc w:val="both"/>
      </w:pPr>
      <w:r>
        <w:rPr>
          <w:color w:val="131212"/>
        </w:rPr>
        <w:t>Business interruption and contents risks (even if not</w:t>
      </w:r>
      <w:r>
        <w:rPr>
          <w:color w:val="131212"/>
          <w:spacing w:val="-43"/>
        </w:rPr>
        <w:t xml:space="preserve"> </w:t>
      </w:r>
      <w:r>
        <w:rPr>
          <w:color w:val="131212"/>
        </w:rPr>
        <w:t>linked to a building) are to be included in the ‘Street</w:t>
      </w:r>
      <w:r>
        <w:rPr>
          <w:color w:val="131212"/>
          <w:spacing w:val="-43"/>
        </w:rPr>
        <w:t xml:space="preserve"> </w:t>
      </w:r>
      <w:r>
        <w:rPr>
          <w:color w:val="131212"/>
        </w:rPr>
        <w:t>Address’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worksheet.</w:t>
      </w:r>
    </w:p>
    <w:p w14:paraId="42402FD5" w14:textId="77777777" w:rsidR="00591638" w:rsidRDefault="00796DDB">
      <w:pPr>
        <w:pStyle w:val="BodyText"/>
        <w:spacing w:before="120"/>
        <w:ind w:left="312"/>
        <w:jc w:val="both"/>
      </w:pPr>
      <w:r>
        <w:rPr>
          <w:color w:val="131212"/>
        </w:rPr>
        <w:t>When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submitting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your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annual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aggregate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return,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RISe</w:t>
      </w:r>
    </w:p>
    <w:p w14:paraId="42402FD6" w14:textId="77777777" w:rsidR="00591638" w:rsidRDefault="00796DDB">
      <w:pPr>
        <w:pStyle w:val="BodyText"/>
        <w:spacing w:before="48" w:line="288" w:lineRule="auto"/>
        <w:ind w:left="312" w:right="138"/>
      </w:pPr>
      <w:r>
        <w:rPr>
          <w:color w:val="131212"/>
        </w:rPr>
        <w:t>will compare this year’s submission with the previous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year. If there is a v</w:t>
      </w:r>
      <w:r>
        <w:rPr>
          <w:color w:val="131212"/>
        </w:rPr>
        <w:t>ariance greater than 10 per cent, you</w:t>
      </w:r>
      <w:r>
        <w:rPr>
          <w:color w:val="131212"/>
          <w:spacing w:val="-43"/>
        </w:rPr>
        <w:t xml:space="preserve"> </w:t>
      </w:r>
      <w:r>
        <w:rPr>
          <w:color w:val="131212"/>
        </w:rPr>
        <w:t>will be asked to review your submission or explain the</w:t>
      </w:r>
      <w:r>
        <w:rPr>
          <w:color w:val="131212"/>
          <w:spacing w:val="1"/>
        </w:rPr>
        <w:t xml:space="preserve"> </w:t>
      </w:r>
      <w:r>
        <w:rPr>
          <w:color w:val="131212"/>
        </w:rPr>
        <w:t>reason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for the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change in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exposure.</w:t>
      </w:r>
    </w:p>
    <w:p w14:paraId="42402FD7" w14:textId="77777777" w:rsidR="00591638" w:rsidRDefault="00796DDB">
      <w:pPr>
        <w:pStyle w:val="BodyText"/>
        <w:spacing w:before="122" w:line="273" w:lineRule="auto"/>
        <w:ind w:left="312" w:right="162"/>
      </w:pPr>
      <w:r>
        <w:rPr>
          <w:color w:val="131212"/>
        </w:rPr>
        <w:t>To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submit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your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annual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aggregate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exposure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report,</w:t>
      </w:r>
      <w:r>
        <w:rPr>
          <w:color w:val="131212"/>
          <w:spacing w:val="-42"/>
        </w:rPr>
        <w:t xml:space="preserve"> </w:t>
      </w:r>
      <w:r>
        <w:rPr>
          <w:color w:val="131212"/>
        </w:rPr>
        <w:t>please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log into</w:t>
      </w:r>
      <w:r>
        <w:rPr>
          <w:color w:val="131212"/>
          <w:spacing w:val="-2"/>
        </w:rPr>
        <w:t xml:space="preserve"> </w:t>
      </w:r>
      <w:hyperlink r:id="rId22">
        <w:r>
          <w:rPr>
            <w:color w:val="4E8FDF"/>
            <w:u w:val="single" w:color="4E8FDF"/>
          </w:rPr>
          <w:t>http://rise.arpc.gov.au</w:t>
        </w:r>
        <w:r>
          <w:rPr>
            <w:color w:val="4E8FDF"/>
          </w:rPr>
          <w:t xml:space="preserve"> </w:t>
        </w:r>
      </w:hyperlink>
      <w:r>
        <w:rPr>
          <w:color w:val="131212"/>
        </w:rPr>
        <w:t>and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select</w:t>
      </w:r>
    </w:p>
    <w:p w14:paraId="42402FD8" w14:textId="77777777" w:rsidR="00591638" w:rsidRDefault="00796DDB">
      <w:pPr>
        <w:pStyle w:val="BodyText"/>
        <w:ind w:left="312"/>
      </w:pPr>
      <w:r>
        <w:rPr>
          <w:color w:val="131212"/>
        </w:rPr>
        <w:t>‘download</w:t>
      </w:r>
      <w:r>
        <w:rPr>
          <w:color w:val="131212"/>
          <w:spacing w:val="-4"/>
        </w:rPr>
        <w:t xml:space="preserve"> </w:t>
      </w:r>
      <w:proofErr w:type="gramStart"/>
      <w:r>
        <w:rPr>
          <w:color w:val="131212"/>
        </w:rPr>
        <w:t>templates’</w:t>
      </w:r>
      <w:proofErr w:type="gramEnd"/>
      <w:r>
        <w:rPr>
          <w:color w:val="131212"/>
        </w:rPr>
        <w:t>.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For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further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instructions,</w:t>
      </w:r>
      <w:r>
        <w:rPr>
          <w:color w:val="131212"/>
          <w:spacing w:val="-5"/>
        </w:rPr>
        <w:t xml:space="preserve"> </w:t>
      </w:r>
      <w:r>
        <w:rPr>
          <w:color w:val="131212"/>
        </w:rPr>
        <w:t>please</w:t>
      </w:r>
    </w:p>
    <w:p w14:paraId="42402FD9" w14:textId="77777777" w:rsidR="00591638" w:rsidRDefault="00796DDB">
      <w:pPr>
        <w:pStyle w:val="BodyText"/>
        <w:spacing w:before="34"/>
        <w:ind w:left="312"/>
      </w:pPr>
      <w:r>
        <w:rPr>
          <w:color w:val="131212"/>
        </w:rPr>
        <w:t>refer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to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page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>27 of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the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RISe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Cedant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User</w:t>
      </w:r>
      <w:r>
        <w:rPr>
          <w:color w:val="131212"/>
          <w:spacing w:val="-1"/>
        </w:rPr>
        <w:t xml:space="preserve"> </w:t>
      </w:r>
      <w:r>
        <w:rPr>
          <w:color w:val="131212"/>
        </w:rPr>
        <w:t xml:space="preserve">Manual </w:t>
      </w:r>
      <w:hyperlink r:id="rId23">
        <w:r>
          <w:rPr>
            <w:color w:val="4E8FDF"/>
            <w:u w:val="single" w:color="4E8FDF"/>
          </w:rPr>
          <w:t>here</w:t>
        </w:r>
        <w:r>
          <w:rPr>
            <w:color w:val="131212"/>
          </w:rPr>
          <w:t>.</w:t>
        </w:r>
      </w:hyperlink>
    </w:p>
    <w:p w14:paraId="42402FDA" w14:textId="77777777" w:rsidR="00591638" w:rsidRDefault="00796DDB">
      <w:pPr>
        <w:pStyle w:val="BodyText"/>
        <w:spacing w:before="155"/>
        <w:ind w:left="312" w:right="162"/>
      </w:pPr>
      <w:r>
        <w:rPr>
          <w:color w:val="131212"/>
        </w:rPr>
        <w:t>If you have any questions, please contact</w:t>
      </w:r>
      <w:r>
        <w:rPr>
          <w:color w:val="131212"/>
          <w:spacing w:val="1"/>
        </w:rPr>
        <w:t xml:space="preserve"> </w:t>
      </w:r>
      <w:hyperlink r:id="rId24">
        <w:r>
          <w:rPr>
            <w:color w:val="006FC0"/>
            <w:u w:val="single" w:color="006FC0"/>
          </w:rPr>
          <w:t>enquiries@arpc.gov.au</w:t>
        </w:r>
        <w:r>
          <w:rPr>
            <w:color w:val="131212"/>
          </w:rPr>
          <w:t>,</w:t>
        </w:r>
        <w:r>
          <w:rPr>
            <w:color w:val="131212"/>
            <w:spacing w:val="-4"/>
          </w:rPr>
          <w:t xml:space="preserve"> </w:t>
        </w:r>
      </w:hyperlink>
      <w:r>
        <w:rPr>
          <w:color w:val="131212"/>
        </w:rPr>
        <w:t>or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call</w:t>
      </w:r>
      <w:r>
        <w:rPr>
          <w:color w:val="131212"/>
          <w:spacing w:val="-2"/>
        </w:rPr>
        <w:t xml:space="preserve"> </w:t>
      </w:r>
      <w:r>
        <w:rPr>
          <w:color w:val="131212"/>
        </w:rPr>
        <w:t>+61</w:t>
      </w:r>
      <w:r>
        <w:rPr>
          <w:color w:val="131212"/>
          <w:spacing w:val="-4"/>
        </w:rPr>
        <w:t xml:space="preserve"> </w:t>
      </w:r>
      <w:r>
        <w:rPr>
          <w:color w:val="131212"/>
        </w:rPr>
        <w:t>2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8223</w:t>
      </w:r>
      <w:r>
        <w:rPr>
          <w:color w:val="131212"/>
          <w:spacing w:val="-3"/>
        </w:rPr>
        <w:t xml:space="preserve"> </w:t>
      </w:r>
      <w:r>
        <w:rPr>
          <w:color w:val="131212"/>
        </w:rPr>
        <w:t>6777.</w:t>
      </w:r>
    </w:p>
    <w:p w14:paraId="42402FDB" w14:textId="77777777" w:rsidR="00591638" w:rsidRDefault="00591638">
      <w:pPr>
        <w:pStyle w:val="BodyText"/>
      </w:pPr>
    </w:p>
    <w:p w14:paraId="42402FDC" w14:textId="77777777" w:rsidR="00591638" w:rsidRDefault="00796DDB">
      <w:pPr>
        <w:pStyle w:val="BodyText"/>
        <w:spacing w:before="9"/>
        <w:rPr>
          <w:sz w:val="24"/>
        </w:rPr>
      </w:pPr>
      <w:r>
        <w:pict w14:anchorId="42402FF8">
          <v:shape id="docshape15" o:spid="_x0000_s1026" style="position:absolute;margin-left:315.35pt;margin-top:16.35pt;width:225.75pt;height:.1pt;z-index:-15723520;mso-wrap-distance-left:0;mso-wrap-distance-right:0;mso-position-horizontal-relative:page" coordorigin="6307,327" coordsize="4515,0" path="m6307,327r4515,e" filled="f" strokecolor="#b9371b">
            <v:path arrowok="t"/>
            <w10:wrap type="topAndBottom" anchorx="page"/>
          </v:shape>
        </w:pict>
      </w:r>
    </w:p>
    <w:p w14:paraId="42402FDD" w14:textId="77777777" w:rsidR="00591638" w:rsidRDefault="00591638">
      <w:pPr>
        <w:pStyle w:val="BodyText"/>
      </w:pPr>
    </w:p>
    <w:p w14:paraId="42402FDE" w14:textId="77777777" w:rsidR="00591638" w:rsidRDefault="00591638">
      <w:pPr>
        <w:pStyle w:val="BodyText"/>
        <w:spacing w:before="7"/>
        <w:rPr>
          <w:sz w:val="21"/>
        </w:rPr>
      </w:pPr>
    </w:p>
    <w:p w14:paraId="42402FDF" w14:textId="77777777" w:rsidR="00591638" w:rsidRDefault="00796DDB">
      <w:pPr>
        <w:pStyle w:val="BodyText"/>
        <w:spacing w:before="1" w:line="276" w:lineRule="auto"/>
        <w:ind w:left="312" w:right="2697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2402FF9" wp14:editId="42402FFA">
            <wp:simplePos x="0" y="0"/>
            <wp:positionH relativeFrom="page">
              <wp:posOffset>5518841</wp:posOffset>
            </wp:positionH>
            <wp:positionV relativeFrom="paragraph">
              <wp:posOffset>152149</wp:posOffset>
            </wp:positionV>
            <wp:extent cx="1247304" cy="1247304"/>
            <wp:effectExtent l="0" t="0" r="0" b="0"/>
            <wp:wrapNone/>
            <wp:docPr id="9" name="image9.jpeg" descr="Logo, ic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304" cy="124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BA3A1F"/>
          <w:sz w:val="24"/>
        </w:rPr>
        <w:t>Q</w:t>
      </w:r>
      <w:r>
        <w:t>. Can insurer</w:t>
      </w:r>
      <w:r>
        <w:rPr>
          <w:spacing w:val="1"/>
        </w:rPr>
        <w:t xml:space="preserve"> </w:t>
      </w:r>
      <w:r>
        <w:t>customers submit</w:t>
      </w:r>
      <w:r>
        <w:rPr>
          <w:spacing w:val="1"/>
        </w:rPr>
        <w:t xml:space="preserve"> </w:t>
      </w:r>
      <w:r>
        <w:t>quarterly premiums</w:t>
      </w:r>
      <w:r>
        <w:rPr>
          <w:spacing w:val="1"/>
        </w:rPr>
        <w:t xml:space="preserve"> </w:t>
      </w:r>
      <w:r>
        <w:t>separately/in different</w:t>
      </w:r>
      <w:r>
        <w:rPr>
          <w:spacing w:val="1"/>
        </w:rPr>
        <w:t xml:space="preserve"> </w:t>
      </w:r>
      <w:r>
        <w:t>installments (that is, for</w:t>
      </w:r>
      <w:r>
        <w:rPr>
          <w:spacing w:val="-43"/>
        </w:rPr>
        <w:t xml:space="preserve"> </w:t>
      </w:r>
      <w:r>
        <w:t>accounts handled by</w:t>
      </w:r>
      <w:r>
        <w:rPr>
          <w:spacing w:val="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branches</w:t>
      </w:r>
    </w:p>
    <w:p w14:paraId="42402FE0" w14:textId="77777777" w:rsidR="00591638" w:rsidRDefault="00796DDB">
      <w:pPr>
        <w:pStyle w:val="BodyText"/>
        <w:spacing w:before="2"/>
        <w:ind w:left="312"/>
      </w:pP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customer’s</w:t>
      </w:r>
    </w:p>
    <w:p w14:paraId="42402FE1" w14:textId="77777777" w:rsidR="00591638" w:rsidRDefault="00796DDB">
      <w:pPr>
        <w:pStyle w:val="BodyText"/>
        <w:spacing w:before="34"/>
        <w:ind w:left="312"/>
      </w:pPr>
      <w:r>
        <w:t>organisation)?</w:t>
      </w:r>
    </w:p>
    <w:p w14:paraId="42402FE2" w14:textId="77777777" w:rsidR="00591638" w:rsidRDefault="00591638">
      <w:pPr>
        <w:pStyle w:val="BodyText"/>
        <w:spacing w:before="6"/>
        <w:rPr>
          <w:sz w:val="19"/>
        </w:rPr>
      </w:pPr>
    </w:p>
    <w:p w14:paraId="42402FE3" w14:textId="77777777" w:rsidR="00591638" w:rsidRDefault="00796DDB">
      <w:pPr>
        <w:pStyle w:val="BodyText"/>
        <w:spacing w:line="273" w:lineRule="auto"/>
        <w:ind w:left="312" w:right="188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2402FFB" wp14:editId="42402FFC">
            <wp:simplePos x="0" y="0"/>
            <wp:positionH relativeFrom="page">
              <wp:posOffset>595170</wp:posOffset>
            </wp:positionH>
            <wp:positionV relativeFrom="paragraph">
              <wp:posOffset>725509</wp:posOffset>
            </wp:positionV>
            <wp:extent cx="4901722" cy="1010826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722" cy="1010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74B8D"/>
          <w:sz w:val="24"/>
        </w:rPr>
        <w:t>A</w:t>
      </w:r>
      <w:r>
        <w:t>. No. Quarterly premiums need to be consolidated</w:t>
      </w:r>
      <w:r>
        <w:rPr>
          <w:spacing w:val="1"/>
        </w:rPr>
        <w:t xml:space="preserve"> </w:t>
      </w:r>
      <w:r>
        <w:t>and reported as one submission which includes all</w:t>
      </w:r>
      <w:r>
        <w:rPr>
          <w:spacing w:val="1"/>
        </w:rPr>
        <w:t xml:space="preserve"> </w:t>
      </w:r>
      <w:r>
        <w:t>eligible insurance contracts processed by the customer</w:t>
      </w:r>
      <w:r>
        <w:rPr>
          <w:spacing w:val="-4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quarter.</w:t>
      </w:r>
    </w:p>
    <w:sectPr w:rsidR="00591638">
      <w:type w:val="continuous"/>
      <w:pgSz w:w="11910" w:h="16840"/>
      <w:pgMar w:top="1600" w:right="980" w:bottom="280" w:left="820" w:header="916" w:footer="0" w:gutter="0"/>
      <w:cols w:num="2" w:space="720" w:equalWidth="0">
        <w:col w:w="4811" w:space="364"/>
        <w:col w:w="49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3002" w14:textId="77777777" w:rsidR="00000000" w:rsidRDefault="00796DDB">
      <w:r>
        <w:separator/>
      </w:r>
    </w:p>
  </w:endnote>
  <w:endnote w:type="continuationSeparator" w:id="0">
    <w:p w14:paraId="42403004" w14:textId="77777777" w:rsidR="00000000" w:rsidRDefault="007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2FFE" w14:textId="77777777" w:rsidR="00000000" w:rsidRDefault="00796DDB">
      <w:r>
        <w:separator/>
      </w:r>
    </w:p>
  </w:footnote>
  <w:footnote w:type="continuationSeparator" w:id="0">
    <w:p w14:paraId="42403000" w14:textId="77777777" w:rsidR="00000000" w:rsidRDefault="0079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2FFD" w14:textId="77777777" w:rsidR="00591638" w:rsidRDefault="00796DD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00960" behindDoc="1" locked="0" layoutInCell="1" allowOverlap="1" wp14:anchorId="42402FFE" wp14:editId="42402FFF">
          <wp:simplePos x="0" y="0"/>
          <wp:positionH relativeFrom="page">
            <wp:posOffset>639703</wp:posOffset>
          </wp:positionH>
          <wp:positionV relativeFrom="page">
            <wp:posOffset>581352</wp:posOffset>
          </wp:positionV>
          <wp:extent cx="6280727" cy="5432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0727" cy="54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1107"/>
    <w:multiLevelType w:val="hybridMultilevel"/>
    <w:tmpl w:val="FB101818"/>
    <w:lvl w:ilvl="0" w:tplc="BC300E08">
      <w:numFmt w:val="bullet"/>
      <w:lvlText w:val=""/>
      <w:lvlJc w:val="left"/>
      <w:pPr>
        <w:ind w:left="6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BA3A1F"/>
        <w:w w:val="99"/>
        <w:sz w:val="20"/>
        <w:szCs w:val="20"/>
        <w:lang w:val="en-AU" w:eastAsia="en-US" w:bidi="ar-SA"/>
      </w:rPr>
    </w:lvl>
    <w:lvl w:ilvl="1" w:tplc="96420C00">
      <w:numFmt w:val="bullet"/>
      <w:lvlText w:val="•"/>
      <w:lvlJc w:val="left"/>
      <w:pPr>
        <w:ind w:left="1093" w:hanging="361"/>
      </w:pPr>
      <w:rPr>
        <w:rFonts w:hint="default"/>
        <w:lang w:val="en-AU" w:eastAsia="en-US" w:bidi="ar-SA"/>
      </w:rPr>
    </w:lvl>
    <w:lvl w:ilvl="2" w:tplc="A0E880E4">
      <w:numFmt w:val="bullet"/>
      <w:lvlText w:val="•"/>
      <w:lvlJc w:val="left"/>
      <w:pPr>
        <w:ind w:left="1507" w:hanging="361"/>
      </w:pPr>
      <w:rPr>
        <w:rFonts w:hint="default"/>
        <w:lang w:val="en-AU" w:eastAsia="en-US" w:bidi="ar-SA"/>
      </w:rPr>
    </w:lvl>
    <w:lvl w:ilvl="3" w:tplc="31260D08">
      <w:numFmt w:val="bullet"/>
      <w:lvlText w:val="•"/>
      <w:lvlJc w:val="left"/>
      <w:pPr>
        <w:ind w:left="1921" w:hanging="361"/>
      </w:pPr>
      <w:rPr>
        <w:rFonts w:hint="default"/>
        <w:lang w:val="en-AU" w:eastAsia="en-US" w:bidi="ar-SA"/>
      </w:rPr>
    </w:lvl>
    <w:lvl w:ilvl="4" w:tplc="3DAA09D8">
      <w:numFmt w:val="bullet"/>
      <w:lvlText w:val="•"/>
      <w:lvlJc w:val="left"/>
      <w:pPr>
        <w:ind w:left="2335" w:hanging="361"/>
      </w:pPr>
      <w:rPr>
        <w:rFonts w:hint="default"/>
        <w:lang w:val="en-AU" w:eastAsia="en-US" w:bidi="ar-SA"/>
      </w:rPr>
    </w:lvl>
    <w:lvl w:ilvl="5" w:tplc="FEF6C554">
      <w:numFmt w:val="bullet"/>
      <w:lvlText w:val="•"/>
      <w:lvlJc w:val="left"/>
      <w:pPr>
        <w:ind w:left="2749" w:hanging="361"/>
      </w:pPr>
      <w:rPr>
        <w:rFonts w:hint="default"/>
        <w:lang w:val="en-AU" w:eastAsia="en-US" w:bidi="ar-SA"/>
      </w:rPr>
    </w:lvl>
    <w:lvl w:ilvl="6" w:tplc="C318219E">
      <w:numFmt w:val="bullet"/>
      <w:lvlText w:val="•"/>
      <w:lvlJc w:val="left"/>
      <w:pPr>
        <w:ind w:left="3163" w:hanging="361"/>
      </w:pPr>
      <w:rPr>
        <w:rFonts w:hint="default"/>
        <w:lang w:val="en-AU" w:eastAsia="en-US" w:bidi="ar-SA"/>
      </w:rPr>
    </w:lvl>
    <w:lvl w:ilvl="7" w:tplc="FD3E00B6">
      <w:numFmt w:val="bullet"/>
      <w:lvlText w:val="•"/>
      <w:lvlJc w:val="left"/>
      <w:pPr>
        <w:ind w:left="3577" w:hanging="361"/>
      </w:pPr>
      <w:rPr>
        <w:rFonts w:hint="default"/>
        <w:lang w:val="en-AU" w:eastAsia="en-US" w:bidi="ar-SA"/>
      </w:rPr>
    </w:lvl>
    <w:lvl w:ilvl="8" w:tplc="A4AABB1C">
      <w:numFmt w:val="bullet"/>
      <w:lvlText w:val="•"/>
      <w:lvlJc w:val="left"/>
      <w:pPr>
        <w:ind w:left="3991" w:hanging="361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638"/>
    <w:rsid w:val="00591638"/>
    <w:rsid w:val="007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2402EF5"/>
  <w15:docId w15:val="{25BAD4C4-935D-4B23-B8B9-6181999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paragraph" w:styleId="Heading1">
    <w:name w:val="heading 1"/>
    <w:basedOn w:val="Normal"/>
    <w:uiPriority w:val="9"/>
    <w:qFormat/>
    <w:pPr>
      <w:ind w:left="312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73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rpc.gov.a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arpc.gov.au/exclusion-zones-paper-request-form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arpc.gov.au/2021/03/10/7642/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treasury.gov.au/review/cyclone-reinsurance-pool-taskforce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pc.gov.au/wp-content/blogs.dir/3/files/2021/07/2020-ARPC-Insurer-Customer-Survey-Public-Report-FINAL-2.pdf" TargetMode="External"/><Relationship Id="rId24" Type="http://schemas.openxmlformats.org/officeDocument/2006/relationships/hyperlink" Target="mailto:enquiries@arpc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isters.treasury.gov.au/ministers/michael-sukkar-2019/media-releases/2021-triennial-review-terrorism-insurance-act-2003" TargetMode="External"/><Relationship Id="rId23" Type="http://schemas.openxmlformats.org/officeDocument/2006/relationships/hyperlink" Target="https://arpc.gov.au/wp-content/blogs.dir/3/files/2012/09/RISe_Cedant_User_Manual_v3.2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reasury.gov.au/consultation/c2021-184184" TargetMode="External"/><Relationship Id="rId22" Type="http://schemas.openxmlformats.org/officeDocument/2006/relationships/hyperlink" Target="http://rise.arpc.gov.au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2262</Words>
  <Characters>12895</Characters>
  <Application>Microsoft Office Word</Application>
  <DocSecurity>0</DocSecurity>
  <Lines>107</Lines>
  <Paragraphs>30</Paragraphs>
  <ScaleCrop>false</ScaleCrop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cover</dc:title>
  <dc:subject>Quarterly newsletter template</dc:subject>
  <dc:creator>Anna Fenech</dc:creator>
  <cp:lastModifiedBy>Kiah Frankel</cp:lastModifiedBy>
  <cp:revision>2</cp:revision>
  <dcterms:created xsi:type="dcterms:W3CDTF">2021-07-07T01:32:00Z</dcterms:created>
  <dcterms:modified xsi:type="dcterms:W3CDTF">2021-07-07T01:33:00Z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2021-07-07T00:00:00Z</vt:filetime>
  </property>
</Properties>
</file>