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8EA3" w14:textId="77777777" w:rsidR="00CE0A36" w:rsidRDefault="00477A53">
      <w:pPr>
        <w:pStyle w:val="BodyText"/>
        <w:ind w:left="2351"/>
        <w:rPr>
          <w:rFonts w:ascii="Times New Roman"/>
          <w:sz w:val="20"/>
        </w:rPr>
      </w:pPr>
      <w:r>
        <w:rPr>
          <w:rFonts w:ascii="Times New Roman"/>
          <w:noProof/>
          <w:sz w:val="20"/>
          <w:lang w:val="en-GB" w:eastAsia="en-GB"/>
        </w:rPr>
        <w:drawing>
          <wp:inline distT="0" distB="0" distL="0" distR="0" wp14:anchorId="126B8F12" wp14:editId="435C59D7">
            <wp:extent cx="3152327" cy="5349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152327" cy="534924"/>
                    </a:xfrm>
                    <a:prstGeom prst="rect">
                      <a:avLst/>
                    </a:prstGeom>
                  </pic:spPr>
                </pic:pic>
              </a:graphicData>
            </a:graphic>
          </wp:inline>
        </w:drawing>
      </w:r>
    </w:p>
    <w:p w14:paraId="60DCBD6F" w14:textId="77777777" w:rsidR="00CE0A36" w:rsidRDefault="00CE0A36">
      <w:pPr>
        <w:pStyle w:val="BodyText"/>
        <w:rPr>
          <w:rFonts w:ascii="Times New Roman"/>
          <w:sz w:val="20"/>
        </w:rPr>
      </w:pPr>
    </w:p>
    <w:p w14:paraId="0F5C2A56" w14:textId="77777777" w:rsidR="00CE0A36" w:rsidRDefault="00CE0A36">
      <w:pPr>
        <w:pStyle w:val="BodyText"/>
        <w:rPr>
          <w:rFonts w:ascii="Times New Roman"/>
          <w:sz w:val="20"/>
        </w:rPr>
      </w:pPr>
    </w:p>
    <w:p w14:paraId="5DD0E501" w14:textId="77777777" w:rsidR="00CE0A36" w:rsidRDefault="00CE0A36">
      <w:pPr>
        <w:pStyle w:val="BodyText"/>
        <w:rPr>
          <w:rFonts w:ascii="Times New Roman"/>
          <w:sz w:val="20"/>
        </w:rPr>
      </w:pPr>
    </w:p>
    <w:p w14:paraId="31EE474F" w14:textId="77777777" w:rsidR="00CE0A36" w:rsidRDefault="00CE0A36">
      <w:pPr>
        <w:pStyle w:val="BodyText"/>
        <w:rPr>
          <w:rFonts w:ascii="Times New Roman"/>
          <w:sz w:val="20"/>
        </w:rPr>
      </w:pPr>
    </w:p>
    <w:p w14:paraId="1D32636A" w14:textId="77777777" w:rsidR="00CE0A36" w:rsidRDefault="00CE0A36">
      <w:pPr>
        <w:pStyle w:val="BodyText"/>
        <w:rPr>
          <w:rFonts w:ascii="Times New Roman"/>
          <w:sz w:val="20"/>
        </w:rPr>
      </w:pPr>
    </w:p>
    <w:p w14:paraId="311C9873" w14:textId="77777777" w:rsidR="00CE0A36" w:rsidRDefault="00CE0A36">
      <w:pPr>
        <w:pStyle w:val="BodyText"/>
        <w:rPr>
          <w:rFonts w:ascii="Times New Roman"/>
          <w:sz w:val="20"/>
        </w:rPr>
      </w:pPr>
    </w:p>
    <w:p w14:paraId="31113D6F" w14:textId="77777777" w:rsidR="00CE0A36" w:rsidRDefault="00CE0A36">
      <w:pPr>
        <w:pStyle w:val="BodyText"/>
        <w:rPr>
          <w:rFonts w:ascii="Times New Roman"/>
          <w:sz w:val="20"/>
        </w:rPr>
      </w:pPr>
    </w:p>
    <w:p w14:paraId="7D6E9400" w14:textId="77777777" w:rsidR="00CE0A36" w:rsidRDefault="00CE0A36">
      <w:pPr>
        <w:pStyle w:val="BodyText"/>
        <w:rPr>
          <w:rFonts w:ascii="Times New Roman"/>
          <w:sz w:val="20"/>
        </w:rPr>
      </w:pPr>
    </w:p>
    <w:p w14:paraId="1630CB8C" w14:textId="77777777" w:rsidR="00CE0A36" w:rsidRDefault="00CE0A36">
      <w:pPr>
        <w:pStyle w:val="BodyText"/>
        <w:rPr>
          <w:rFonts w:ascii="Times New Roman"/>
          <w:sz w:val="20"/>
        </w:rPr>
      </w:pPr>
    </w:p>
    <w:p w14:paraId="68FD83F6" w14:textId="77777777" w:rsidR="00CE0A36" w:rsidRDefault="00CE0A36">
      <w:pPr>
        <w:pStyle w:val="BodyText"/>
        <w:rPr>
          <w:rFonts w:ascii="Times New Roman"/>
          <w:sz w:val="20"/>
        </w:rPr>
      </w:pPr>
    </w:p>
    <w:p w14:paraId="60BC66DB" w14:textId="77777777" w:rsidR="00CE0A36" w:rsidRDefault="00CE0A36">
      <w:pPr>
        <w:pStyle w:val="BodyText"/>
        <w:rPr>
          <w:rFonts w:ascii="Times New Roman"/>
          <w:sz w:val="20"/>
        </w:rPr>
      </w:pPr>
    </w:p>
    <w:p w14:paraId="36C2CE61" w14:textId="77777777" w:rsidR="00CE0A36" w:rsidRDefault="00CE0A36">
      <w:pPr>
        <w:pStyle w:val="BodyText"/>
        <w:rPr>
          <w:rFonts w:ascii="Times New Roman"/>
          <w:sz w:val="20"/>
        </w:rPr>
      </w:pPr>
    </w:p>
    <w:p w14:paraId="6A742B83" w14:textId="77777777" w:rsidR="00CE0A36" w:rsidRDefault="00CE0A36">
      <w:pPr>
        <w:pStyle w:val="BodyText"/>
        <w:spacing w:before="10"/>
        <w:rPr>
          <w:rFonts w:ascii="Times New Roman"/>
          <w:sz w:val="15"/>
        </w:rPr>
      </w:pPr>
    </w:p>
    <w:p w14:paraId="05B63D59" w14:textId="77777777" w:rsidR="00CE0A36" w:rsidRDefault="00477A53">
      <w:pPr>
        <w:spacing w:before="3"/>
        <w:ind w:left="1880" w:right="2177"/>
        <w:jc w:val="center"/>
        <w:rPr>
          <w:b/>
          <w:sz w:val="48"/>
        </w:rPr>
      </w:pPr>
      <w:bookmarkStart w:id="0" w:name="Procurement_Procedure_FINAL_June_2018"/>
      <w:bookmarkEnd w:id="0"/>
      <w:r>
        <w:rPr>
          <w:b/>
          <w:color w:val="76923C"/>
          <w:sz w:val="48"/>
        </w:rPr>
        <w:t>ARPC Procurement Procedure</w:t>
      </w:r>
    </w:p>
    <w:p w14:paraId="3B5C435E" w14:textId="77777777" w:rsidR="00CE0A36" w:rsidRDefault="00CE0A36">
      <w:pPr>
        <w:pStyle w:val="BodyText"/>
        <w:rPr>
          <w:b/>
          <w:sz w:val="48"/>
        </w:rPr>
      </w:pPr>
    </w:p>
    <w:p w14:paraId="5D91444A" w14:textId="77777777" w:rsidR="00CE0A36" w:rsidRDefault="00CE0A36">
      <w:pPr>
        <w:pStyle w:val="BodyText"/>
        <w:rPr>
          <w:b/>
          <w:sz w:val="48"/>
        </w:rPr>
      </w:pPr>
    </w:p>
    <w:p w14:paraId="28F5AE3D" w14:textId="77777777" w:rsidR="00CE0A36" w:rsidRDefault="00CE0A36">
      <w:pPr>
        <w:pStyle w:val="BodyText"/>
        <w:spacing w:before="11"/>
        <w:rPr>
          <w:b/>
          <w:sz w:val="40"/>
        </w:rPr>
      </w:pPr>
    </w:p>
    <w:p w14:paraId="742A2E74" w14:textId="77777777" w:rsidR="00CE0A36" w:rsidRDefault="00477A53">
      <w:pPr>
        <w:pStyle w:val="Heading2"/>
        <w:ind w:left="1412"/>
      </w:pPr>
      <w:r>
        <w:t>Purpose</w:t>
      </w:r>
    </w:p>
    <w:p w14:paraId="1144FF3F" w14:textId="28574A2A" w:rsidR="00CE0A36" w:rsidRDefault="00477A53">
      <w:pPr>
        <w:pStyle w:val="BodyText"/>
        <w:spacing w:before="40" w:line="276" w:lineRule="auto"/>
        <w:ind w:left="1409" w:right="1012" w:firstLine="2"/>
      </w:pPr>
      <w:r>
        <w:t xml:space="preserve">To outline the process for </w:t>
      </w:r>
      <w:r w:rsidR="00EA0193">
        <w:t xml:space="preserve">all </w:t>
      </w:r>
      <w:r>
        <w:t xml:space="preserve">ARPC </w:t>
      </w:r>
      <w:r w:rsidR="00EA0193">
        <w:t xml:space="preserve">procurement. </w:t>
      </w:r>
    </w:p>
    <w:p w14:paraId="1F00C4F8" w14:textId="77777777" w:rsidR="00CE0A36" w:rsidRDefault="00CE0A36">
      <w:pPr>
        <w:pStyle w:val="BodyText"/>
      </w:pPr>
    </w:p>
    <w:p w14:paraId="7B911098" w14:textId="77777777" w:rsidR="00CE0A36" w:rsidRDefault="00CE0A36">
      <w:pPr>
        <w:pStyle w:val="BodyText"/>
        <w:spacing w:before="8"/>
        <w:rPr>
          <w:sz w:val="28"/>
        </w:rPr>
      </w:pPr>
    </w:p>
    <w:p w14:paraId="07368165" w14:textId="77777777" w:rsidR="00CE0A36" w:rsidRDefault="00477A53">
      <w:pPr>
        <w:pStyle w:val="Heading2"/>
        <w:ind w:left="1412"/>
      </w:pPr>
      <w:r>
        <w:t>Scope</w:t>
      </w:r>
    </w:p>
    <w:p w14:paraId="510EC201" w14:textId="37C4E42E" w:rsidR="00CE0A36" w:rsidRDefault="00477A53">
      <w:pPr>
        <w:pStyle w:val="BodyText"/>
        <w:spacing w:before="40" w:line="276" w:lineRule="auto"/>
        <w:ind w:left="1409" w:right="1008" w:firstLine="2"/>
      </w:pPr>
      <w:r>
        <w:t>This procedure is mandatory and applies to the ARPC Board, CEO, and all staff and contractors engaged by ARPC.</w:t>
      </w:r>
    </w:p>
    <w:p w14:paraId="3E3570B0" w14:textId="77777777" w:rsidR="00CE0A36" w:rsidRDefault="00CE0A36">
      <w:pPr>
        <w:pStyle w:val="BodyText"/>
      </w:pPr>
    </w:p>
    <w:p w14:paraId="2330DEFD" w14:textId="77777777" w:rsidR="00CE0A36" w:rsidRDefault="00CE0A36">
      <w:pPr>
        <w:pStyle w:val="BodyText"/>
      </w:pPr>
    </w:p>
    <w:p w14:paraId="24E75B97" w14:textId="77777777" w:rsidR="00CE0A36" w:rsidRDefault="00CE0A36">
      <w:pPr>
        <w:pStyle w:val="BodyText"/>
      </w:pPr>
    </w:p>
    <w:p w14:paraId="5AB174DD" w14:textId="77777777" w:rsidR="00CE0A36" w:rsidRDefault="00CE0A36">
      <w:pPr>
        <w:pStyle w:val="BodyText"/>
      </w:pPr>
    </w:p>
    <w:p w14:paraId="64DD2749" w14:textId="77777777" w:rsidR="00CE0A36" w:rsidRDefault="00CE0A36">
      <w:pPr>
        <w:pStyle w:val="BodyText"/>
      </w:pPr>
    </w:p>
    <w:p w14:paraId="13391608" w14:textId="77777777" w:rsidR="00CE0A36" w:rsidRDefault="00CE0A36">
      <w:pPr>
        <w:pStyle w:val="BodyText"/>
      </w:pPr>
    </w:p>
    <w:p w14:paraId="100EE3B6" w14:textId="77777777" w:rsidR="00CE0A36" w:rsidRDefault="00CE0A36">
      <w:pPr>
        <w:pStyle w:val="BodyText"/>
      </w:pPr>
    </w:p>
    <w:p w14:paraId="0CC1AA04" w14:textId="77777777" w:rsidR="00CE0A36" w:rsidRDefault="00CE0A36">
      <w:pPr>
        <w:jc w:val="center"/>
        <w:rPr>
          <w:sz w:val="18"/>
        </w:rPr>
        <w:sectPr w:rsidR="00CE0A36">
          <w:footerReference w:type="default" r:id="rId13"/>
          <w:type w:val="continuous"/>
          <w:pgSz w:w="11910" w:h="16840"/>
          <w:pgMar w:top="680" w:right="840" w:bottom="280" w:left="1020" w:header="720" w:footer="720" w:gutter="0"/>
          <w:cols w:space="720"/>
        </w:sectPr>
      </w:pPr>
    </w:p>
    <w:p w14:paraId="7CA40350" w14:textId="77777777" w:rsidR="00CE0A36" w:rsidRDefault="00CE0A36">
      <w:pPr>
        <w:pStyle w:val="BodyText"/>
        <w:rPr>
          <w:b/>
          <w:sz w:val="20"/>
        </w:rPr>
      </w:pPr>
    </w:p>
    <w:p w14:paraId="6803C6B0" w14:textId="77777777" w:rsidR="00CE0A36" w:rsidRDefault="00477A53">
      <w:pPr>
        <w:pStyle w:val="ListParagraph"/>
        <w:numPr>
          <w:ilvl w:val="0"/>
          <w:numId w:val="11"/>
        </w:numPr>
        <w:tabs>
          <w:tab w:val="left" w:pos="474"/>
        </w:tabs>
        <w:spacing w:before="52"/>
        <w:rPr>
          <w:b/>
          <w:sz w:val="24"/>
        </w:rPr>
      </w:pPr>
      <w:r>
        <w:rPr>
          <w:b/>
          <w:sz w:val="24"/>
        </w:rPr>
        <w:t>Introduction</w:t>
      </w:r>
    </w:p>
    <w:p w14:paraId="73EA44B2" w14:textId="2F5B066C" w:rsidR="00CE0A36" w:rsidRDefault="00477A53">
      <w:pPr>
        <w:pStyle w:val="BodyText"/>
        <w:spacing w:before="147"/>
        <w:ind w:left="114" w:right="280"/>
      </w:pPr>
      <w:r>
        <w:t>This procedure outlines the process for procuring goods and</w:t>
      </w:r>
      <w:r w:rsidR="00CB1390">
        <w:t>/</w:t>
      </w:r>
      <w:r>
        <w:t>or services on behalf of the Australian Reinsurance Pool Corporation (ARPC). In the context of this procedure, procurement means any proposal to spend money for goods or services on behalf of ARPC. The procedure is designed so procurements</w:t>
      </w:r>
      <w:r w:rsidR="008D0486">
        <w:t xml:space="preserve"> are</w:t>
      </w:r>
      <w:r w:rsidR="00346C5B">
        <w:t xml:space="preserve"> conducted</w:t>
      </w:r>
      <w:r>
        <w:t>:</w:t>
      </w:r>
    </w:p>
    <w:p w14:paraId="7D5A5D0B" w14:textId="77777777" w:rsidR="00CE0A36" w:rsidRDefault="00CE0A36">
      <w:pPr>
        <w:pStyle w:val="BodyText"/>
      </w:pPr>
    </w:p>
    <w:p w14:paraId="0EB05CEB" w14:textId="74F2D10A" w:rsidR="00CE0A36" w:rsidRDefault="00477A53">
      <w:pPr>
        <w:pStyle w:val="ListParagraph"/>
        <w:numPr>
          <w:ilvl w:val="1"/>
          <w:numId w:val="11"/>
        </w:numPr>
        <w:tabs>
          <w:tab w:val="left" w:pos="1554"/>
          <w:tab w:val="left" w:pos="1555"/>
        </w:tabs>
        <w:ind w:hanging="732"/>
      </w:pPr>
      <w:r>
        <w:t xml:space="preserve">to achieve value for money </w:t>
      </w:r>
    </w:p>
    <w:p w14:paraId="1EE968D5" w14:textId="19EDFA22" w:rsidR="00CE0A36" w:rsidRDefault="00477A53">
      <w:pPr>
        <w:pStyle w:val="ListParagraph"/>
        <w:numPr>
          <w:ilvl w:val="1"/>
          <w:numId w:val="11"/>
        </w:numPr>
        <w:tabs>
          <w:tab w:val="left" w:pos="1554"/>
          <w:tab w:val="left" w:pos="1555"/>
        </w:tabs>
        <w:ind w:hanging="732"/>
      </w:pPr>
      <w:r>
        <w:t>with transparency and integrity throughout the</w:t>
      </w:r>
      <w:r>
        <w:rPr>
          <w:spacing w:val="-10"/>
        </w:rPr>
        <w:t xml:space="preserve"> </w:t>
      </w:r>
      <w:r>
        <w:t>process</w:t>
      </w:r>
    </w:p>
    <w:p w14:paraId="7B677576" w14:textId="29E86BE7" w:rsidR="00CE0A36" w:rsidRDefault="00346C5B">
      <w:pPr>
        <w:pStyle w:val="ListParagraph"/>
        <w:numPr>
          <w:ilvl w:val="1"/>
          <w:numId w:val="11"/>
        </w:numPr>
        <w:tabs>
          <w:tab w:val="left" w:pos="1554"/>
          <w:tab w:val="left" w:pos="1555"/>
        </w:tabs>
        <w:ind w:hanging="732"/>
      </w:pPr>
      <w:r>
        <w:t xml:space="preserve">within </w:t>
      </w:r>
      <w:r w:rsidR="00477A53">
        <w:t>delegations</w:t>
      </w:r>
    </w:p>
    <w:p w14:paraId="4B123803" w14:textId="4C737501" w:rsidR="00CE0A36" w:rsidRDefault="00EE56B8">
      <w:pPr>
        <w:pStyle w:val="ListParagraph"/>
        <w:numPr>
          <w:ilvl w:val="1"/>
          <w:numId w:val="11"/>
        </w:numPr>
        <w:tabs>
          <w:tab w:val="left" w:pos="1554"/>
          <w:tab w:val="left" w:pos="1555"/>
        </w:tabs>
        <w:spacing w:before="1"/>
        <w:ind w:hanging="732"/>
      </w:pPr>
      <w:r>
        <w:t xml:space="preserve">to </w:t>
      </w:r>
      <w:r w:rsidR="00477A53">
        <w:t xml:space="preserve">provide efficient, effective, </w:t>
      </w:r>
      <w:r w:rsidR="002A71DD">
        <w:t>economical,</w:t>
      </w:r>
      <w:r w:rsidR="00477A53">
        <w:t xml:space="preserve"> and ethical use of public</w:t>
      </w:r>
      <w:r w:rsidR="00477A53">
        <w:rPr>
          <w:spacing w:val="-12"/>
        </w:rPr>
        <w:t xml:space="preserve"> </w:t>
      </w:r>
      <w:r w:rsidR="00477A53">
        <w:t>money.</w:t>
      </w:r>
    </w:p>
    <w:p w14:paraId="14FBA695" w14:textId="77777777" w:rsidR="00CE0A36" w:rsidRDefault="00CE0A36">
      <w:pPr>
        <w:pStyle w:val="BodyText"/>
        <w:spacing w:before="11"/>
        <w:rPr>
          <w:sz w:val="21"/>
        </w:rPr>
      </w:pPr>
    </w:p>
    <w:p w14:paraId="15324D4A" w14:textId="3B628995" w:rsidR="00CE0A36" w:rsidRDefault="00477A53">
      <w:pPr>
        <w:pStyle w:val="BodyText"/>
        <w:ind w:left="114" w:right="441" w:hanging="1"/>
      </w:pPr>
      <w:r>
        <w:t xml:space="preserve">This procedure also provides guidance to assist compliance with </w:t>
      </w:r>
      <w:r w:rsidR="00345B16">
        <w:t xml:space="preserve">applicable </w:t>
      </w:r>
      <w:r>
        <w:t xml:space="preserve">legislative </w:t>
      </w:r>
      <w:r w:rsidR="00B143B1">
        <w:t xml:space="preserve">and policy </w:t>
      </w:r>
      <w:r>
        <w:t xml:space="preserve">frameworks. This includes obligations under the </w:t>
      </w:r>
      <w:r w:rsidRPr="00A34AC2">
        <w:rPr>
          <w:i/>
          <w:iCs/>
        </w:rPr>
        <w:t>Public Governance, Accountability and Performance Act 2013</w:t>
      </w:r>
      <w:r>
        <w:t xml:space="preserve"> (PGPA Act), the </w:t>
      </w:r>
      <w:r w:rsidRPr="00A34AC2">
        <w:rPr>
          <w:i/>
          <w:iCs/>
        </w:rPr>
        <w:t>Terrorism Insurance Act 2003</w:t>
      </w:r>
      <w:r>
        <w:t xml:space="preserve"> (TI Act)</w:t>
      </w:r>
      <w:r w:rsidR="00B143B1">
        <w:t xml:space="preserve"> and the</w:t>
      </w:r>
      <w:r>
        <w:t xml:space="preserve"> ARPC Values and Code of</w:t>
      </w:r>
      <w:r>
        <w:rPr>
          <w:spacing w:val="-3"/>
        </w:rPr>
        <w:t xml:space="preserve"> </w:t>
      </w:r>
      <w:r>
        <w:t>Conduct.</w:t>
      </w:r>
    </w:p>
    <w:p w14:paraId="45CBDB56" w14:textId="77777777" w:rsidR="00CE0A36" w:rsidRDefault="00CE0A36">
      <w:pPr>
        <w:pStyle w:val="BodyText"/>
      </w:pPr>
    </w:p>
    <w:p w14:paraId="38AA48B6" w14:textId="4E44E508" w:rsidR="00CE0A36" w:rsidRDefault="00477A53">
      <w:pPr>
        <w:ind w:left="114" w:right="550"/>
        <w:rPr>
          <w:b/>
          <w:i/>
        </w:rPr>
      </w:pPr>
      <w:r>
        <w:rPr>
          <w:b/>
          <w:i/>
        </w:rPr>
        <w:t xml:space="preserve">ARPC is not </w:t>
      </w:r>
      <w:r w:rsidR="00822CDF">
        <w:rPr>
          <w:b/>
          <w:i/>
        </w:rPr>
        <w:t xml:space="preserve">legally </w:t>
      </w:r>
      <w:r>
        <w:rPr>
          <w:b/>
          <w:i/>
        </w:rPr>
        <w:t>bound by the Commonwealth Procurement Rules (CPR) because it is not a prescribed entity under s.30 of the PGPA Rule</w:t>
      </w:r>
      <w:r>
        <w:rPr>
          <w:b/>
          <w:i/>
          <w:spacing w:val="-6"/>
        </w:rPr>
        <w:t xml:space="preserve"> </w:t>
      </w:r>
      <w:r>
        <w:rPr>
          <w:b/>
          <w:i/>
        </w:rPr>
        <w:t>2014.</w:t>
      </w:r>
      <w:r w:rsidR="008A1BAD">
        <w:rPr>
          <w:b/>
          <w:i/>
        </w:rPr>
        <w:t xml:space="preserve"> Officers </w:t>
      </w:r>
      <w:r w:rsidR="00FB36B4">
        <w:rPr>
          <w:b/>
          <w:i/>
        </w:rPr>
        <w:t xml:space="preserve">involved in the </w:t>
      </w:r>
      <w:r w:rsidR="008A1BAD">
        <w:rPr>
          <w:b/>
          <w:i/>
        </w:rPr>
        <w:t xml:space="preserve">conduct </w:t>
      </w:r>
      <w:r w:rsidR="00FB36B4">
        <w:rPr>
          <w:b/>
          <w:i/>
        </w:rPr>
        <w:t xml:space="preserve">of </w:t>
      </w:r>
      <w:r w:rsidR="008A1BAD">
        <w:rPr>
          <w:b/>
          <w:i/>
        </w:rPr>
        <w:t xml:space="preserve">APRC procurements are obliged to comply with this </w:t>
      </w:r>
      <w:r w:rsidR="005D3D44">
        <w:rPr>
          <w:b/>
          <w:i/>
        </w:rPr>
        <w:t>procedure</w:t>
      </w:r>
      <w:r w:rsidR="008A1BAD">
        <w:rPr>
          <w:b/>
          <w:i/>
        </w:rPr>
        <w:t>.</w:t>
      </w:r>
    </w:p>
    <w:p w14:paraId="77B4391E" w14:textId="77777777" w:rsidR="00CE0A36" w:rsidRDefault="00CE0A36">
      <w:pPr>
        <w:pStyle w:val="BodyText"/>
        <w:rPr>
          <w:b/>
          <w:i/>
        </w:rPr>
      </w:pPr>
    </w:p>
    <w:p w14:paraId="58002D48" w14:textId="384D74BB" w:rsidR="00CE0A36" w:rsidRDefault="00477A53">
      <w:pPr>
        <w:pStyle w:val="Heading1"/>
        <w:numPr>
          <w:ilvl w:val="0"/>
          <w:numId w:val="11"/>
        </w:numPr>
        <w:tabs>
          <w:tab w:val="left" w:pos="474"/>
        </w:tabs>
      </w:pPr>
      <w:r>
        <w:t xml:space="preserve">Obligations </w:t>
      </w:r>
    </w:p>
    <w:p w14:paraId="19D606E3" w14:textId="372F0021" w:rsidR="00CE0A36" w:rsidRDefault="00E82990">
      <w:pPr>
        <w:pStyle w:val="BodyText"/>
        <w:spacing w:before="147"/>
        <w:ind w:left="114"/>
      </w:pPr>
      <w:r>
        <w:t xml:space="preserve">Anyone </w:t>
      </w:r>
      <w:r w:rsidR="00477A53">
        <w:t xml:space="preserve">involved in procurement, particularly </w:t>
      </w:r>
      <w:r>
        <w:t xml:space="preserve">those </w:t>
      </w:r>
      <w:r w:rsidR="00477A53">
        <w:t>dealing directly with suppliers, should:</w:t>
      </w:r>
    </w:p>
    <w:p w14:paraId="42D3033D" w14:textId="77777777" w:rsidR="00CE0A36" w:rsidRDefault="00CE0A36">
      <w:pPr>
        <w:pStyle w:val="BodyText"/>
        <w:spacing w:before="12"/>
        <w:rPr>
          <w:sz w:val="21"/>
        </w:rPr>
      </w:pPr>
    </w:p>
    <w:p w14:paraId="34300DA8" w14:textId="77777777" w:rsidR="00CE0A36" w:rsidRDefault="00477A53">
      <w:pPr>
        <w:pStyle w:val="ListParagraph"/>
        <w:numPr>
          <w:ilvl w:val="0"/>
          <w:numId w:val="10"/>
        </w:numPr>
        <w:tabs>
          <w:tab w:val="left" w:pos="833"/>
          <w:tab w:val="left" w:pos="834"/>
        </w:tabs>
        <w:ind w:hanging="361"/>
      </w:pPr>
      <w:r>
        <w:t>deal with suppliers and potential suppliers without</w:t>
      </w:r>
      <w:r>
        <w:rPr>
          <w:spacing w:val="-7"/>
        </w:rPr>
        <w:t xml:space="preserve"> </w:t>
      </w:r>
      <w:r>
        <w:t>bias</w:t>
      </w:r>
    </w:p>
    <w:p w14:paraId="3288BF59" w14:textId="1F7FC964" w:rsidR="00CE0A36" w:rsidRDefault="0045795A">
      <w:pPr>
        <w:pStyle w:val="ListParagraph"/>
        <w:numPr>
          <w:ilvl w:val="0"/>
          <w:numId w:val="10"/>
        </w:numPr>
        <w:tabs>
          <w:tab w:val="left" w:pos="833"/>
          <w:tab w:val="left" w:pos="834"/>
        </w:tabs>
        <w:spacing w:line="280" w:lineRule="exact"/>
        <w:ind w:hanging="361"/>
      </w:pPr>
      <w:r>
        <w:t xml:space="preserve">comply with the </w:t>
      </w:r>
      <w:bookmarkStart w:id="1" w:name="_Hlk39587903"/>
      <w:r>
        <w:t xml:space="preserve">ARPC </w:t>
      </w:r>
      <w:r w:rsidR="00AD037D">
        <w:t>Giving Official Hospitality Procedure and Receiving Gifts and Benefits Procedure</w:t>
      </w:r>
      <w:bookmarkEnd w:id="1"/>
      <w:r w:rsidR="00EF16BB">
        <w:t xml:space="preserve"> or equivalent as applicable from time-to-time</w:t>
      </w:r>
    </w:p>
    <w:p w14:paraId="43218097" w14:textId="415403C1" w:rsidR="00CE0A36" w:rsidRDefault="00477A53">
      <w:pPr>
        <w:pStyle w:val="ListParagraph"/>
        <w:numPr>
          <w:ilvl w:val="0"/>
          <w:numId w:val="10"/>
        </w:numPr>
        <w:tabs>
          <w:tab w:val="left" w:pos="833"/>
          <w:tab w:val="left" w:pos="834"/>
        </w:tabs>
        <w:spacing w:line="280" w:lineRule="exact"/>
        <w:ind w:hanging="361"/>
      </w:pPr>
      <w:r>
        <w:t xml:space="preserve">utilise ARPC’s money and property in an efficient, effective, </w:t>
      </w:r>
      <w:r w:rsidR="000D2755">
        <w:t>economic,</w:t>
      </w:r>
      <w:r>
        <w:t xml:space="preserve"> and ethical</w:t>
      </w:r>
      <w:r>
        <w:rPr>
          <w:spacing w:val="-21"/>
        </w:rPr>
        <w:t xml:space="preserve"> </w:t>
      </w:r>
      <w:r>
        <w:t>manner</w:t>
      </w:r>
      <w:r w:rsidR="00640C22">
        <w:t xml:space="preserve"> </w:t>
      </w:r>
    </w:p>
    <w:p w14:paraId="3B43F1C4" w14:textId="7D0C41FF" w:rsidR="00640C22" w:rsidRPr="00640C22" w:rsidRDefault="00640C22">
      <w:pPr>
        <w:pStyle w:val="ListParagraph"/>
        <w:numPr>
          <w:ilvl w:val="0"/>
          <w:numId w:val="10"/>
        </w:numPr>
        <w:tabs>
          <w:tab w:val="left" w:pos="833"/>
          <w:tab w:val="left" w:pos="834"/>
        </w:tabs>
        <w:spacing w:line="280" w:lineRule="exact"/>
        <w:ind w:hanging="361"/>
        <w:rPr>
          <w:iCs/>
        </w:rPr>
      </w:pPr>
      <w:r w:rsidRPr="00A34AC2">
        <w:rPr>
          <w:iCs/>
        </w:rPr>
        <w:t>take appropriate steps to protect the Commonwealth’s confidential information and treat tenderer submissions and their evaluation confidentially</w:t>
      </w:r>
      <w:r>
        <w:rPr>
          <w:iCs/>
        </w:rPr>
        <w:t>.</w:t>
      </w:r>
    </w:p>
    <w:p w14:paraId="774EF0BA" w14:textId="77777777" w:rsidR="00CE0A36" w:rsidRDefault="00CE0A36">
      <w:pPr>
        <w:pStyle w:val="BodyText"/>
      </w:pPr>
    </w:p>
    <w:p w14:paraId="2A76018A" w14:textId="77777777" w:rsidR="00CE0A36" w:rsidRDefault="00477A53">
      <w:pPr>
        <w:pStyle w:val="Heading1"/>
        <w:numPr>
          <w:ilvl w:val="0"/>
          <w:numId w:val="11"/>
        </w:numPr>
        <w:tabs>
          <w:tab w:val="left" w:pos="474"/>
        </w:tabs>
      </w:pPr>
      <w:r>
        <w:t>Delegation to</w:t>
      </w:r>
      <w:r>
        <w:rPr>
          <w:spacing w:val="-2"/>
        </w:rPr>
        <w:t xml:space="preserve"> </w:t>
      </w:r>
      <w:r>
        <w:t>approve</w:t>
      </w:r>
    </w:p>
    <w:p w14:paraId="0C25C940" w14:textId="045DB435" w:rsidR="00CE0A36" w:rsidRDefault="00477A53">
      <w:pPr>
        <w:pStyle w:val="Heading2"/>
        <w:numPr>
          <w:ilvl w:val="1"/>
          <w:numId w:val="9"/>
        </w:numPr>
        <w:tabs>
          <w:tab w:val="left" w:pos="743"/>
          <w:tab w:val="left" w:pos="745"/>
        </w:tabs>
        <w:spacing w:before="147"/>
      </w:pPr>
      <w:r>
        <w:t xml:space="preserve">Obligations </w:t>
      </w:r>
      <w:r w:rsidR="00BA1C0A">
        <w:t>of</w:t>
      </w:r>
      <w:r>
        <w:rPr>
          <w:spacing w:val="-2"/>
        </w:rPr>
        <w:t xml:space="preserve"> </w:t>
      </w:r>
      <w:r>
        <w:t>Delegates</w:t>
      </w:r>
    </w:p>
    <w:p w14:paraId="20A665FB" w14:textId="77777777" w:rsidR="00CE0A36" w:rsidRDefault="00477A53">
      <w:pPr>
        <w:pStyle w:val="BodyText"/>
        <w:spacing w:before="40"/>
        <w:ind w:left="113"/>
      </w:pPr>
      <w:r>
        <w:t>A delegate approving a spending proposal must:</w:t>
      </w:r>
    </w:p>
    <w:p w14:paraId="2AA31DD6" w14:textId="77777777" w:rsidR="00CE0A36" w:rsidRDefault="00CE0A36">
      <w:pPr>
        <w:pStyle w:val="BodyText"/>
        <w:spacing w:before="1"/>
      </w:pPr>
    </w:p>
    <w:p w14:paraId="4EBC5170" w14:textId="19D7158C" w:rsidR="00CE0A36" w:rsidRDefault="00477A53">
      <w:pPr>
        <w:pStyle w:val="ListParagraph"/>
        <w:numPr>
          <w:ilvl w:val="2"/>
          <w:numId w:val="9"/>
        </w:numPr>
        <w:tabs>
          <w:tab w:val="left" w:pos="833"/>
          <w:tab w:val="left" w:pos="834"/>
        </w:tabs>
        <w:ind w:right="829"/>
      </w:pPr>
      <w:r>
        <w:t>check that there is an allocation within the Board-approved budget for the spending proposal,</w:t>
      </w:r>
    </w:p>
    <w:p w14:paraId="298D2675" w14:textId="004D11EE" w:rsidR="00CE0A36" w:rsidRDefault="00477A53">
      <w:pPr>
        <w:pStyle w:val="ListParagraph"/>
        <w:numPr>
          <w:ilvl w:val="2"/>
          <w:numId w:val="9"/>
        </w:numPr>
        <w:tabs>
          <w:tab w:val="left" w:pos="833"/>
          <w:tab w:val="left" w:pos="834"/>
        </w:tabs>
        <w:spacing w:line="280" w:lineRule="exact"/>
        <w:ind w:hanging="361"/>
      </w:pPr>
      <w:r>
        <w:t xml:space="preserve">only approve an expenditure amount that is within their </w:t>
      </w:r>
      <w:r w:rsidR="004479DE">
        <w:t>delegation</w:t>
      </w:r>
      <w:r>
        <w:t>,</w:t>
      </w:r>
    </w:p>
    <w:p w14:paraId="27091825" w14:textId="27B58877" w:rsidR="00CE0A36" w:rsidRDefault="00477A53">
      <w:pPr>
        <w:pStyle w:val="ListParagraph"/>
        <w:numPr>
          <w:ilvl w:val="2"/>
          <w:numId w:val="9"/>
        </w:numPr>
        <w:tabs>
          <w:tab w:val="left" w:pos="833"/>
          <w:tab w:val="left" w:pos="834"/>
        </w:tabs>
        <w:spacing w:line="280" w:lineRule="exact"/>
        <w:ind w:hanging="361"/>
      </w:pPr>
      <w:r>
        <w:t>discuss the timing of the spending commitment with the CFO</w:t>
      </w:r>
      <w:r w:rsidR="006E68E4">
        <w:t>,</w:t>
      </w:r>
      <w:r>
        <w:rPr>
          <w:spacing w:val="-7"/>
        </w:rPr>
        <w:t xml:space="preserve"> </w:t>
      </w:r>
      <w:r>
        <w:t>and</w:t>
      </w:r>
    </w:p>
    <w:p w14:paraId="22EFFB6A" w14:textId="77777777" w:rsidR="00CE0A36" w:rsidRDefault="00477A53">
      <w:pPr>
        <w:pStyle w:val="ListParagraph"/>
        <w:numPr>
          <w:ilvl w:val="2"/>
          <w:numId w:val="9"/>
        </w:numPr>
        <w:tabs>
          <w:tab w:val="left" w:pos="833"/>
          <w:tab w:val="left" w:pos="834"/>
        </w:tabs>
        <w:ind w:right="580"/>
      </w:pPr>
      <w:r>
        <w:t>be satisfied that the expenditure will represent efficient, effective, economical and ethical use of ARPC’s</w:t>
      </w:r>
      <w:r>
        <w:rPr>
          <w:spacing w:val="-2"/>
        </w:rPr>
        <w:t xml:space="preserve"> </w:t>
      </w:r>
      <w:r>
        <w:t>resources.</w:t>
      </w:r>
    </w:p>
    <w:p w14:paraId="6B8CDF48" w14:textId="77777777" w:rsidR="00CE0A36" w:rsidRDefault="00CE0A36">
      <w:pPr>
        <w:pStyle w:val="BodyText"/>
        <w:spacing w:before="1"/>
      </w:pPr>
    </w:p>
    <w:p w14:paraId="165EBBD4" w14:textId="7A410F20" w:rsidR="00CE0A36" w:rsidRDefault="00477A53">
      <w:pPr>
        <w:pStyle w:val="BodyText"/>
        <w:ind w:left="113" w:right="807"/>
      </w:pPr>
      <w:r>
        <w:t>The delegate must obtain prior approval from the CEO for any proposed spending that is not provided within the annual budget approved by the Board.</w:t>
      </w:r>
    </w:p>
    <w:p w14:paraId="4B58726E" w14:textId="77777777" w:rsidR="00CE0A36" w:rsidRDefault="00CE0A36">
      <w:pPr>
        <w:pStyle w:val="BodyText"/>
        <w:spacing w:before="11"/>
        <w:rPr>
          <w:sz w:val="21"/>
        </w:rPr>
      </w:pPr>
    </w:p>
    <w:p w14:paraId="29D9576C" w14:textId="51D147FC" w:rsidR="00CE0A36" w:rsidRDefault="00477A53" w:rsidP="00604049">
      <w:pPr>
        <w:pStyle w:val="BodyText"/>
        <w:spacing w:before="1"/>
        <w:ind w:left="113" w:right="475"/>
      </w:pPr>
      <w:r>
        <w:t>A procurement must not be divided into separate smaller procurements to circumvent a threshold, either by dividing the procurement into its component parts or by entering into multiple contracts for shorter time periods.</w:t>
      </w:r>
      <w:r w:rsidR="00604049">
        <w:t xml:space="preserve"> </w:t>
      </w:r>
      <w:r>
        <w:t>Limited Source Procurement and Sole Source</w:t>
      </w:r>
      <w:r>
        <w:rPr>
          <w:spacing w:val="-5"/>
        </w:rPr>
        <w:t xml:space="preserve"> </w:t>
      </w:r>
      <w:r>
        <w:t>Procurement</w:t>
      </w:r>
    </w:p>
    <w:p w14:paraId="6AEA0D78" w14:textId="44404C71" w:rsidR="00080679" w:rsidRDefault="00080679">
      <w:pPr>
        <w:pStyle w:val="BodyText"/>
        <w:spacing w:before="56"/>
        <w:ind w:left="113" w:right="415"/>
      </w:pPr>
    </w:p>
    <w:p w14:paraId="71C16B08" w14:textId="243405E6" w:rsidR="006A3BCF" w:rsidRDefault="006A3BCF">
      <w:pPr>
        <w:pStyle w:val="BodyText"/>
        <w:spacing w:before="56"/>
        <w:ind w:left="113" w:right="415"/>
      </w:pPr>
    </w:p>
    <w:p w14:paraId="7AD302EC" w14:textId="77777777" w:rsidR="006A3BCF" w:rsidRDefault="006A3BCF">
      <w:pPr>
        <w:pStyle w:val="BodyText"/>
        <w:spacing w:before="56"/>
        <w:ind w:left="113" w:right="415"/>
      </w:pPr>
    </w:p>
    <w:p w14:paraId="66E6CD23" w14:textId="5277BEA6" w:rsidR="00CE0A36" w:rsidRDefault="00477A53">
      <w:pPr>
        <w:pStyle w:val="BodyText"/>
        <w:spacing w:before="56"/>
        <w:ind w:left="113" w:right="415"/>
      </w:pPr>
      <w:r>
        <w:lastRenderedPageBreak/>
        <w:t>ARPC is a specialised provider of reinsurance cover, and as such there are generally limited known suppliers that can meet the needs of ARPC. Significant acquisitions are typically for consulting services such</w:t>
      </w:r>
      <w:r w:rsidR="00172639">
        <w:t xml:space="preserve"> </w:t>
      </w:r>
      <w:r>
        <w:t>as reinsurance broking, actuarial services, internal audit services, research and modelling services associated with terrorism risk, recruitment of insurance specialists, and human resource management and training services. In many cases there are limited suppliers able to provide the</w:t>
      </w:r>
      <w:r w:rsidR="00CB37C2">
        <w:t xml:space="preserve"> </w:t>
      </w:r>
      <w:r>
        <w:t xml:space="preserve">services </w:t>
      </w:r>
      <w:r w:rsidR="00CB37C2">
        <w:t>required by</w:t>
      </w:r>
      <w:r>
        <w:t xml:space="preserve"> ARPC. As such the most efficient and effective and economic procurement method is generally a limited source request for proposal or a sole source procurement.</w:t>
      </w:r>
    </w:p>
    <w:p w14:paraId="3F589FCA" w14:textId="77777777" w:rsidR="00CE0A36" w:rsidRDefault="00CE0A36">
      <w:pPr>
        <w:pStyle w:val="BodyText"/>
      </w:pPr>
    </w:p>
    <w:p w14:paraId="45F6EDB0" w14:textId="56D9BFFE" w:rsidR="00CE0A36" w:rsidRDefault="00477A53">
      <w:pPr>
        <w:pStyle w:val="BodyText"/>
        <w:ind w:left="113" w:right="463"/>
      </w:pPr>
      <w:r>
        <w:t>When considering sole source procurements, the following criteria may be relevant:</w:t>
      </w:r>
    </w:p>
    <w:p w14:paraId="2D094298" w14:textId="77777777" w:rsidR="00CE0A36" w:rsidRDefault="00CE0A36">
      <w:pPr>
        <w:pStyle w:val="BodyText"/>
      </w:pPr>
    </w:p>
    <w:p w14:paraId="574C89E6" w14:textId="77777777" w:rsidR="00CE0A36" w:rsidRDefault="00477A53">
      <w:pPr>
        <w:pStyle w:val="ListParagraph"/>
        <w:numPr>
          <w:ilvl w:val="0"/>
          <w:numId w:val="8"/>
        </w:numPr>
        <w:tabs>
          <w:tab w:val="left" w:pos="833"/>
          <w:tab w:val="left" w:pos="834"/>
        </w:tabs>
        <w:ind w:right="1179"/>
      </w:pPr>
      <w:r>
        <w:t>When the goods and services can only be supplied by a particular business and there is no reasonable</w:t>
      </w:r>
      <w:r>
        <w:rPr>
          <w:spacing w:val="-2"/>
        </w:rPr>
        <w:t xml:space="preserve"> </w:t>
      </w:r>
      <w:r>
        <w:t>substitute.</w:t>
      </w:r>
    </w:p>
    <w:p w14:paraId="2E531DBD" w14:textId="77777777" w:rsidR="00CE0A36" w:rsidRDefault="00477A53">
      <w:pPr>
        <w:pStyle w:val="ListParagraph"/>
        <w:numPr>
          <w:ilvl w:val="0"/>
          <w:numId w:val="8"/>
        </w:numPr>
        <w:tabs>
          <w:tab w:val="left" w:pos="833"/>
          <w:tab w:val="left" w:pos="834"/>
        </w:tabs>
        <w:spacing w:line="280" w:lineRule="exact"/>
        <w:ind w:hanging="361"/>
      </w:pPr>
      <w:r>
        <w:t>For reasons of extreme urgency brought about by unforeseen</w:t>
      </w:r>
      <w:r>
        <w:rPr>
          <w:spacing w:val="-11"/>
        </w:rPr>
        <w:t xml:space="preserve"> </w:t>
      </w:r>
      <w:r>
        <w:t>circumstances.</w:t>
      </w:r>
    </w:p>
    <w:p w14:paraId="45A8A5B0" w14:textId="7AA75D5E" w:rsidR="00CE0A36" w:rsidRDefault="00477A53">
      <w:pPr>
        <w:pStyle w:val="ListParagraph"/>
        <w:numPr>
          <w:ilvl w:val="0"/>
          <w:numId w:val="8"/>
        </w:numPr>
        <w:tabs>
          <w:tab w:val="left" w:pos="833"/>
          <w:tab w:val="left" w:pos="834"/>
        </w:tabs>
        <w:spacing w:before="1" w:line="280" w:lineRule="exact"/>
        <w:ind w:hanging="361"/>
      </w:pPr>
      <w:r>
        <w:t xml:space="preserve">For additional deliveries of services by </w:t>
      </w:r>
      <w:r w:rsidR="00656D1A">
        <w:t>an existing</w:t>
      </w:r>
      <w:r>
        <w:rPr>
          <w:spacing w:val="-8"/>
        </w:rPr>
        <w:t xml:space="preserve"> </w:t>
      </w:r>
      <w:r>
        <w:t>supplier.</w:t>
      </w:r>
    </w:p>
    <w:p w14:paraId="1BC14772" w14:textId="7FB61B29" w:rsidR="00CE0A36" w:rsidRDefault="00477A53" w:rsidP="006A3BCF">
      <w:pPr>
        <w:pStyle w:val="ListParagraph"/>
        <w:numPr>
          <w:ilvl w:val="0"/>
          <w:numId w:val="8"/>
        </w:numPr>
        <w:tabs>
          <w:tab w:val="left" w:pos="833"/>
          <w:tab w:val="left" w:pos="834"/>
        </w:tabs>
        <w:ind w:right="658"/>
      </w:pPr>
      <w:r>
        <w:t>For procurements under exceptionally advantageous conditions that arise only in the very short term.</w:t>
      </w:r>
    </w:p>
    <w:p w14:paraId="598B3914" w14:textId="77777777" w:rsidR="00CE0A36" w:rsidRDefault="00CE0A36">
      <w:pPr>
        <w:pStyle w:val="BodyText"/>
        <w:spacing w:before="11"/>
        <w:rPr>
          <w:sz w:val="21"/>
        </w:rPr>
      </w:pPr>
    </w:p>
    <w:p w14:paraId="4B827627" w14:textId="23B9A161" w:rsidR="00C069A9" w:rsidRDefault="00477A53" w:rsidP="006A3BCF">
      <w:pPr>
        <w:pStyle w:val="Heading1"/>
        <w:numPr>
          <w:ilvl w:val="0"/>
          <w:numId w:val="11"/>
        </w:numPr>
        <w:tabs>
          <w:tab w:val="left" w:pos="474"/>
        </w:tabs>
      </w:pPr>
      <w:r>
        <w:t xml:space="preserve">Government Panel </w:t>
      </w:r>
    </w:p>
    <w:p w14:paraId="4FA73E8E" w14:textId="775A9B3C" w:rsidR="00CE0A36" w:rsidRPr="004779E3" w:rsidRDefault="00477A53" w:rsidP="004779E3">
      <w:pPr>
        <w:pStyle w:val="BodyText"/>
        <w:spacing w:before="1"/>
        <w:ind w:left="114" w:right="280"/>
      </w:pPr>
      <w:r>
        <w:t xml:space="preserve">ARPC can use a government panel </w:t>
      </w:r>
      <w:r w:rsidR="007F25CE">
        <w:t>for procurement processes</w:t>
      </w:r>
      <w:r>
        <w:t xml:space="preserve"> . For general services, the use of a government panel may increase </w:t>
      </w:r>
      <w:r w:rsidR="00AD485E">
        <w:t xml:space="preserve">cost savings </w:t>
      </w:r>
      <w:r w:rsidR="00EA06A3">
        <w:t xml:space="preserve">(due to whole-of-government negotiated rates) </w:t>
      </w:r>
      <w:r w:rsidR="00AD485E">
        <w:t xml:space="preserve">and </w:t>
      </w:r>
      <w:r>
        <w:t>efficiencies in the procurement process</w:t>
      </w:r>
      <w:r w:rsidR="001E5B00">
        <w:t xml:space="preserve"> </w:t>
      </w:r>
      <w:r w:rsidR="00D97BC0">
        <w:t xml:space="preserve">(no need to conduct </w:t>
      </w:r>
      <w:r w:rsidR="002869A8">
        <w:t>an</w:t>
      </w:r>
      <w:r w:rsidR="00D97BC0">
        <w:t xml:space="preserve"> approach to market</w:t>
      </w:r>
      <w:r w:rsidR="002869A8">
        <w:t xml:space="preserve"> or can conduct a limited approach to market based on already approved capabilities)</w:t>
      </w:r>
      <w:r>
        <w:t xml:space="preserve">. Government Panels can be found on the Department of Finance website and the </w:t>
      </w:r>
      <w:r w:rsidR="00400F62">
        <w:t>AusTender</w:t>
      </w:r>
      <w:r>
        <w:t xml:space="preserve"> website.</w:t>
      </w:r>
    </w:p>
    <w:p w14:paraId="097B22D5" w14:textId="77777777" w:rsidR="006070B3" w:rsidRDefault="006070B3">
      <w:pPr>
        <w:pStyle w:val="BodyText"/>
        <w:spacing w:before="1"/>
        <w:ind w:left="113" w:right="621"/>
      </w:pPr>
    </w:p>
    <w:p w14:paraId="1D958648" w14:textId="6259427B" w:rsidR="00813286" w:rsidRPr="008F1EE3" w:rsidRDefault="00813286" w:rsidP="008F1EE3">
      <w:pPr>
        <w:pStyle w:val="Heading1"/>
        <w:numPr>
          <w:ilvl w:val="0"/>
          <w:numId w:val="11"/>
        </w:numPr>
        <w:tabs>
          <w:tab w:val="left" w:pos="474"/>
        </w:tabs>
        <w:jc w:val="both"/>
      </w:pPr>
      <w:r>
        <w:t xml:space="preserve">Due Diligence for </w:t>
      </w:r>
      <w:r w:rsidRPr="008F1EE3">
        <w:rPr>
          <w:i/>
          <w:iCs/>
        </w:rPr>
        <w:t>Modern Slavery Act 2018</w:t>
      </w:r>
    </w:p>
    <w:p w14:paraId="0A10BAB0" w14:textId="43BFF842" w:rsidR="00813286" w:rsidRDefault="006535D7" w:rsidP="006A3BCF">
      <w:pPr>
        <w:pStyle w:val="BodyText"/>
        <w:spacing w:before="1"/>
        <w:ind w:left="114" w:right="280"/>
      </w:pPr>
      <w:r>
        <w:t>ARPC is dedicated to acting ethically, honestly, and with integrity in all business relationships and expect our supply chain to comply with similar values.  As part of ARPC</w:t>
      </w:r>
      <w:r w:rsidR="00092216">
        <w:t xml:space="preserve"> procurement process, risk-based due diligence is to be conducted on all new vendors/ suppliers to make sure that ARPC’s operations and supply chain is free from modern slavery practices.</w:t>
      </w:r>
    </w:p>
    <w:p w14:paraId="41751FC4" w14:textId="11587104" w:rsidR="00092216" w:rsidRDefault="00092216" w:rsidP="00813286">
      <w:pPr>
        <w:pStyle w:val="BodyText"/>
        <w:spacing w:before="147"/>
        <w:ind w:left="114" w:right="839"/>
      </w:pPr>
      <w:r>
        <w:t>If concerns emerge during the due diligence process regarding any vendor/ supplier, ARPC will discuss this with the supplier with a view to them adjusting their approaches to modern slavery risks by implementing best-practice approaches.  If the supplier chooses not to engage in corrective measures being implemented or assurance being provided, ARPC may consider discontinuing the relationship with the supplier.</w:t>
      </w:r>
    </w:p>
    <w:p w14:paraId="08F45104" w14:textId="1379B0F5" w:rsidR="00092216" w:rsidRPr="00813286" w:rsidRDefault="00092216" w:rsidP="008F1EE3">
      <w:pPr>
        <w:pStyle w:val="BodyText"/>
        <w:spacing w:before="147"/>
        <w:ind w:left="114" w:right="839"/>
      </w:pPr>
      <w:r>
        <w:t>ARPC’s contract template and accompanying information sheet also requires suppliers to comply with the Modern Slavery Act</w:t>
      </w:r>
      <w:r w:rsidR="00015F9B">
        <w:t>.</w:t>
      </w:r>
    </w:p>
    <w:p w14:paraId="0D0D4D97" w14:textId="77777777" w:rsidR="00813286" w:rsidRPr="00813286" w:rsidRDefault="00813286" w:rsidP="006A3BCF">
      <w:pPr>
        <w:pStyle w:val="BodyText"/>
        <w:spacing w:before="147"/>
        <w:ind w:right="839"/>
      </w:pPr>
    </w:p>
    <w:p w14:paraId="715ED291" w14:textId="33FDC47E" w:rsidR="00CE0A36" w:rsidRDefault="00477A53">
      <w:pPr>
        <w:pStyle w:val="Heading1"/>
        <w:numPr>
          <w:ilvl w:val="0"/>
          <w:numId w:val="11"/>
        </w:numPr>
        <w:tabs>
          <w:tab w:val="left" w:pos="474"/>
        </w:tabs>
        <w:jc w:val="both"/>
      </w:pPr>
      <w:r>
        <w:t>Intellectual Property</w:t>
      </w:r>
      <w:r>
        <w:rPr>
          <w:spacing w:val="-1"/>
        </w:rPr>
        <w:t xml:space="preserve"> </w:t>
      </w:r>
      <w:r>
        <w:t>(IP)</w:t>
      </w:r>
    </w:p>
    <w:p w14:paraId="5DC1095F" w14:textId="71EC6925" w:rsidR="00CE0A36" w:rsidRDefault="00D53C0B">
      <w:pPr>
        <w:pStyle w:val="BodyText"/>
        <w:spacing w:before="1"/>
        <w:ind w:left="114"/>
        <w:jc w:val="both"/>
      </w:pPr>
      <w:r>
        <w:t xml:space="preserve">Procurement </w:t>
      </w:r>
      <w:r w:rsidR="001247ED">
        <w:t xml:space="preserve">processes </w:t>
      </w:r>
      <w:r w:rsidR="0085324F">
        <w:t xml:space="preserve">may </w:t>
      </w:r>
      <w:r w:rsidR="001247ED">
        <w:t xml:space="preserve">require </w:t>
      </w:r>
      <w:r w:rsidR="001120DD">
        <w:t xml:space="preserve">decisions to be made regarding </w:t>
      </w:r>
      <w:r w:rsidR="00DB2CCB">
        <w:t xml:space="preserve">the management of </w:t>
      </w:r>
      <w:r w:rsidR="00477A53">
        <w:t xml:space="preserve">intellectual property </w:t>
      </w:r>
      <w:r w:rsidR="003448A1">
        <w:t xml:space="preserve">(IP) </w:t>
      </w:r>
      <w:r w:rsidR="00477A53">
        <w:t>which:</w:t>
      </w:r>
    </w:p>
    <w:p w14:paraId="519175BA" w14:textId="77777777" w:rsidR="00CE0A36" w:rsidRDefault="00CE0A36">
      <w:pPr>
        <w:pStyle w:val="BodyText"/>
        <w:spacing w:before="1"/>
      </w:pPr>
    </w:p>
    <w:p w14:paraId="545E2FD8" w14:textId="77777777" w:rsidR="00CE0A36" w:rsidRDefault="00477A53">
      <w:pPr>
        <w:pStyle w:val="ListParagraph"/>
        <w:numPr>
          <w:ilvl w:val="0"/>
          <w:numId w:val="5"/>
        </w:numPr>
        <w:tabs>
          <w:tab w:val="left" w:pos="833"/>
          <w:tab w:val="left" w:pos="835"/>
        </w:tabs>
        <w:spacing w:line="280" w:lineRule="exact"/>
        <w:ind w:hanging="361"/>
      </w:pPr>
      <w:r>
        <w:t>is already in existence (background IP) and required for the procurement;</w:t>
      </w:r>
      <w:r>
        <w:rPr>
          <w:spacing w:val="-11"/>
        </w:rPr>
        <w:t xml:space="preserve"> </w:t>
      </w:r>
      <w:r>
        <w:t>and</w:t>
      </w:r>
    </w:p>
    <w:p w14:paraId="3C5E520D" w14:textId="77777777" w:rsidR="00CE0A36" w:rsidRDefault="00477A53">
      <w:pPr>
        <w:pStyle w:val="ListParagraph"/>
        <w:numPr>
          <w:ilvl w:val="0"/>
          <w:numId w:val="5"/>
        </w:numPr>
        <w:tabs>
          <w:tab w:val="left" w:pos="833"/>
          <w:tab w:val="left" w:pos="834"/>
        </w:tabs>
        <w:spacing w:line="280" w:lineRule="exact"/>
        <w:ind w:left="833" w:hanging="361"/>
      </w:pPr>
      <w:r>
        <w:t>may be created during performance of a contract (foreground</w:t>
      </w:r>
      <w:r>
        <w:rPr>
          <w:spacing w:val="-8"/>
        </w:rPr>
        <w:t xml:space="preserve"> </w:t>
      </w:r>
      <w:r>
        <w:t>IP).</w:t>
      </w:r>
    </w:p>
    <w:p w14:paraId="097E9BBC" w14:textId="77777777" w:rsidR="00CE0A36" w:rsidRDefault="00CE0A36">
      <w:pPr>
        <w:pStyle w:val="BodyText"/>
      </w:pPr>
    </w:p>
    <w:p w14:paraId="2F7A60D2" w14:textId="05A47050" w:rsidR="00A10DBB" w:rsidRPr="00A34AC2" w:rsidRDefault="006702DC">
      <w:pPr>
        <w:pStyle w:val="BodyText"/>
        <w:spacing w:before="1"/>
        <w:ind w:left="113" w:right="948"/>
        <w:jc w:val="both"/>
      </w:pPr>
      <w:r w:rsidRPr="00A34AC2">
        <w:t xml:space="preserve">In accordance with the </w:t>
      </w:r>
      <w:r w:rsidR="00824649" w:rsidRPr="00A34AC2">
        <w:t>‘I</w:t>
      </w:r>
      <w:r w:rsidR="009D1985" w:rsidRPr="00A34AC2">
        <w:t xml:space="preserve">ntellectual Property </w:t>
      </w:r>
      <w:r w:rsidR="00824649" w:rsidRPr="00A34AC2">
        <w:t xml:space="preserve">Principles </w:t>
      </w:r>
      <w:r w:rsidR="003E291E" w:rsidRPr="00A34AC2">
        <w:t>for Commonwealth entities’ (Sept 2016) published by the former Department of Communications and the Arts,</w:t>
      </w:r>
      <w:r w:rsidR="0081536A" w:rsidRPr="00A34AC2">
        <w:t xml:space="preserve"> ARPC should</w:t>
      </w:r>
      <w:r w:rsidR="00446178" w:rsidRPr="00A34AC2">
        <w:t xml:space="preserve"> maintain a flexible approach</w:t>
      </w:r>
      <w:r w:rsidR="008308F7" w:rsidRPr="00A34AC2">
        <w:t xml:space="preserve"> in considering options for ownership</w:t>
      </w:r>
      <w:r w:rsidR="00F11887" w:rsidRPr="00A34AC2">
        <w:t xml:space="preserve">, management and use of </w:t>
      </w:r>
      <w:r w:rsidR="005654DD" w:rsidRPr="00A34AC2">
        <w:t>IP.</w:t>
      </w:r>
      <w:r w:rsidR="00960A25" w:rsidRPr="00A34AC2">
        <w:t xml:space="preserve"> </w:t>
      </w:r>
    </w:p>
    <w:p w14:paraId="4C3085F9" w14:textId="77777777" w:rsidR="00A10DBB" w:rsidRPr="00A34AC2" w:rsidRDefault="00A10DBB">
      <w:pPr>
        <w:pStyle w:val="BodyText"/>
        <w:spacing w:before="1"/>
        <w:ind w:left="113" w:right="948"/>
        <w:jc w:val="both"/>
      </w:pPr>
    </w:p>
    <w:p w14:paraId="1DCB9E65" w14:textId="5AB964D6" w:rsidR="00CE0A36" w:rsidRPr="006A3BCF" w:rsidRDefault="00423079" w:rsidP="006A3BCF">
      <w:pPr>
        <w:pStyle w:val="BodyText"/>
        <w:spacing w:before="1"/>
        <w:ind w:left="113" w:right="948"/>
        <w:jc w:val="both"/>
      </w:pPr>
      <w:r w:rsidRPr="00A34AC2">
        <w:t xml:space="preserve">Appropriate </w:t>
      </w:r>
      <w:r w:rsidR="0001629C" w:rsidRPr="00A34AC2">
        <w:t xml:space="preserve">IP ownership </w:t>
      </w:r>
      <w:r w:rsidR="00563587" w:rsidRPr="00A34AC2">
        <w:t xml:space="preserve">will </w:t>
      </w:r>
      <w:r w:rsidR="007B0276" w:rsidRPr="00A34AC2">
        <w:t>depend on the nature of the procurement</w:t>
      </w:r>
      <w:r w:rsidR="006C3634" w:rsidRPr="00A34AC2">
        <w:t xml:space="preserve">. </w:t>
      </w:r>
      <w:r w:rsidR="00C57C41" w:rsidRPr="00A34AC2">
        <w:t xml:space="preserve">For example, </w:t>
      </w:r>
      <w:r w:rsidR="005579BE" w:rsidRPr="00A34AC2">
        <w:t xml:space="preserve">with </w:t>
      </w:r>
      <w:r w:rsidR="00892A50" w:rsidRPr="00A34AC2">
        <w:t>information and communication</w:t>
      </w:r>
      <w:r w:rsidR="0013350C" w:rsidRPr="00A34AC2">
        <w:t xml:space="preserve"> technology contracts for software</w:t>
      </w:r>
      <w:r w:rsidR="001900B8" w:rsidRPr="00A34AC2">
        <w:t xml:space="preserve">, the default position should be that the </w:t>
      </w:r>
      <w:r w:rsidR="005950E0" w:rsidRPr="00A34AC2">
        <w:t>supplier owns the IP in the software d</w:t>
      </w:r>
      <w:r w:rsidR="0089326C" w:rsidRPr="00A34AC2">
        <w:t>eveloped under the procurement contract</w:t>
      </w:r>
      <w:r w:rsidR="00E609E1" w:rsidRPr="00A34AC2">
        <w:t xml:space="preserve"> and that ARPC is granted </w:t>
      </w:r>
      <w:r w:rsidR="0099125D" w:rsidRPr="00A34AC2">
        <w:t xml:space="preserve">a permanent, irrevocable, worldwide, royalty free, non-exclusive licence (including </w:t>
      </w:r>
      <w:r w:rsidR="0099125D" w:rsidRPr="00A34AC2">
        <w:lastRenderedPageBreak/>
        <w:t>the right to sublicense) to use, reproduce, adapt, modify, distribute and communicate but not commercially exploit</w:t>
      </w:r>
      <w:r w:rsidR="0078148F" w:rsidRPr="00A34AC2">
        <w:t>.</w:t>
      </w:r>
      <w:r w:rsidR="00F2186B" w:rsidRPr="00A34AC2">
        <w:t xml:space="preserve"> </w:t>
      </w:r>
      <w:r w:rsidR="00A46EBD" w:rsidRPr="00A34AC2">
        <w:t>In relation to other procurement</w:t>
      </w:r>
      <w:r w:rsidR="00F60A40">
        <w:t>s,</w:t>
      </w:r>
      <w:r w:rsidR="00A46EBD" w:rsidRPr="00A34AC2">
        <w:t xml:space="preserve"> </w:t>
      </w:r>
      <w:r w:rsidR="00A6006C" w:rsidRPr="00A34AC2">
        <w:t xml:space="preserve">it may be more appropriate for ARPC to hold IP ownership and grant the </w:t>
      </w:r>
      <w:r w:rsidR="00001536" w:rsidRPr="00A34AC2">
        <w:t>contractor a licence.</w:t>
      </w:r>
      <w:r w:rsidR="00957031">
        <w:t xml:space="preserve"> Advice should be sought from the General Counsel</w:t>
      </w:r>
      <w:r w:rsidR="00014183">
        <w:t xml:space="preserve"> if it is not clear how IP should be managed in relation to a procurement.</w:t>
      </w:r>
      <w:r w:rsidR="00957031">
        <w:t xml:space="preserve"> </w:t>
      </w:r>
      <w:bookmarkStart w:id="2" w:name="_GoBack"/>
      <w:bookmarkEnd w:id="2"/>
    </w:p>
    <w:p w14:paraId="54AF4AD8" w14:textId="77777777" w:rsidR="00CE0A36" w:rsidRDefault="00CE0A36">
      <w:pPr>
        <w:pStyle w:val="BodyText"/>
        <w:spacing w:before="10"/>
        <w:rPr>
          <w:sz w:val="21"/>
        </w:rPr>
      </w:pPr>
    </w:p>
    <w:p w14:paraId="63D732E2" w14:textId="77777777" w:rsidR="00CE0A36" w:rsidRDefault="00477A53">
      <w:pPr>
        <w:pStyle w:val="Heading1"/>
        <w:numPr>
          <w:ilvl w:val="0"/>
          <w:numId w:val="11"/>
        </w:numPr>
        <w:tabs>
          <w:tab w:val="left" w:pos="474"/>
        </w:tabs>
      </w:pPr>
      <w:r>
        <w:t>Complaints</w:t>
      </w:r>
    </w:p>
    <w:p w14:paraId="51C7EFF4" w14:textId="77777777" w:rsidR="00CE0A36" w:rsidRDefault="00477A53">
      <w:pPr>
        <w:pStyle w:val="BodyText"/>
        <w:spacing w:before="1"/>
        <w:ind w:left="114"/>
      </w:pPr>
      <w:r>
        <w:t>The CFO is responsible for the management of any procurement-related complaints directed to ARPC.</w:t>
      </w:r>
    </w:p>
    <w:p w14:paraId="7E4D3409" w14:textId="77777777" w:rsidR="00CE0A36" w:rsidRDefault="00CE0A36">
      <w:pPr>
        <w:pStyle w:val="BodyText"/>
      </w:pPr>
    </w:p>
    <w:p w14:paraId="0860AE22" w14:textId="4E8CCD97" w:rsidR="002D7543" w:rsidRDefault="00E77770">
      <w:pPr>
        <w:pStyle w:val="BodyText"/>
        <w:ind w:left="113" w:right="315"/>
      </w:pPr>
      <w:r>
        <w:t xml:space="preserve">If a complaint about procurement is received, </w:t>
      </w:r>
      <w:r w:rsidR="00E67DC2">
        <w:t>ARPC</w:t>
      </w:r>
      <w:r>
        <w:t xml:space="preserve"> </w:t>
      </w:r>
      <w:r w:rsidR="00E67DC2">
        <w:t>should</w:t>
      </w:r>
      <w:r>
        <w:t xml:space="preserve"> apply timely, equitable and non-discriminatory complaint-handling procedures, including providing acknowledgement soon after the complaint has been received.</w:t>
      </w:r>
      <w:r w:rsidR="00E67DC2">
        <w:t xml:space="preserve"> W</w:t>
      </w:r>
      <w:r w:rsidR="00477A53">
        <w:t xml:space="preserve">here possible, the process is to be managed internally through communication and conciliation. </w:t>
      </w:r>
    </w:p>
    <w:p w14:paraId="5AA29981" w14:textId="77777777" w:rsidR="002D7543" w:rsidRDefault="002D7543">
      <w:pPr>
        <w:pStyle w:val="BodyText"/>
        <w:ind w:left="113" w:right="315"/>
      </w:pPr>
    </w:p>
    <w:p w14:paraId="72D239A6" w14:textId="59BE9F03" w:rsidR="00CE0A36" w:rsidRDefault="00477A53">
      <w:pPr>
        <w:pStyle w:val="BodyText"/>
        <w:ind w:left="113" w:right="315"/>
      </w:pPr>
      <w:r>
        <w:t xml:space="preserve">The CFO </w:t>
      </w:r>
      <w:r w:rsidR="00D20AAC">
        <w:t xml:space="preserve">is to </w:t>
      </w:r>
      <w:r>
        <w:t xml:space="preserve">consult ARPC’s </w:t>
      </w:r>
      <w:r w:rsidR="006C706F">
        <w:t>General Counsel</w:t>
      </w:r>
      <w:r>
        <w:t xml:space="preserve"> </w:t>
      </w:r>
      <w:r w:rsidR="00D20AAC">
        <w:t xml:space="preserve">about </w:t>
      </w:r>
      <w:r w:rsidR="004316FD">
        <w:t>handling a complaint</w:t>
      </w:r>
      <w:r>
        <w:t>.</w:t>
      </w:r>
    </w:p>
    <w:p w14:paraId="00E7194D" w14:textId="3CC23EF8" w:rsidR="00955525" w:rsidRDefault="00955525">
      <w:pPr>
        <w:pStyle w:val="BodyText"/>
        <w:ind w:left="113" w:right="315"/>
      </w:pPr>
    </w:p>
    <w:p w14:paraId="02F67914" w14:textId="6D3F7880" w:rsidR="00955525" w:rsidRDefault="00955525">
      <w:pPr>
        <w:pStyle w:val="BodyText"/>
        <w:ind w:left="113" w:right="315"/>
      </w:pPr>
      <w:r>
        <w:t>A complaint that is a public interest disclosure must be handled in accordance with the Public Interest Disclosure Policy and Procedure.</w:t>
      </w:r>
    </w:p>
    <w:p w14:paraId="6BE4A617" w14:textId="77777777" w:rsidR="00AF218C" w:rsidRDefault="00AF218C">
      <w:pPr>
        <w:pStyle w:val="BodyText"/>
        <w:ind w:left="113" w:right="315"/>
      </w:pPr>
    </w:p>
    <w:p w14:paraId="548FAFB4" w14:textId="6DD73C49" w:rsidR="00CE0A36" w:rsidRDefault="00477A53" w:rsidP="006A3BCF">
      <w:pPr>
        <w:pStyle w:val="Heading1"/>
        <w:numPr>
          <w:ilvl w:val="0"/>
          <w:numId w:val="11"/>
        </w:numPr>
        <w:tabs>
          <w:tab w:val="left" w:pos="474"/>
        </w:tabs>
        <w:spacing w:line="293" w:lineRule="exact"/>
      </w:pPr>
      <w:r>
        <w:t>Conflict of</w:t>
      </w:r>
      <w:r>
        <w:rPr>
          <w:spacing w:val="-3"/>
        </w:rPr>
        <w:t xml:space="preserve"> </w:t>
      </w:r>
      <w:r>
        <w:t>Interest</w:t>
      </w:r>
    </w:p>
    <w:p w14:paraId="275475BE" w14:textId="23C3468C" w:rsidR="00CE0A36" w:rsidRDefault="007F1531">
      <w:pPr>
        <w:pStyle w:val="BodyText"/>
        <w:ind w:left="113" w:right="301"/>
      </w:pPr>
      <w:r>
        <w:t>If a p</w:t>
      </w:r>
      <w:r w:rsidR="00477A53">
        <w:t xml:space="preserve">rocurement official </w:t>
      </w:r>
      <w:r w:rsidR="002E0F4A">
        <w:t xml:space="preserve">becomes aware of </w:t>
      </w:r>
      <w:r w:rsidR="00477A53">
        <w:t>any conflict of interest (real or apparent) that could arise during a procurement process</w:t>
      </w:r>
      <w:r w:rsidR="002E0F4A">
        <w:t xml:space="preserve">, they must </w:t>
      </w:r>
      <w:r w:rsidR="00477A53">
        <w:t>declare it immediately to their manager or CEO who will make a decision on the matter.</w:t>
      </w:r>
    </w:p>
    <w:p w14:paraId="6E35D356" w14:textId="77777777" w:rsidR="00CE0A36" w:rsidRDefault="00CE0A36">
      <w:pPr>
        <w:pStyle w:val="BodyText"/>
      </w:pPr>
    </w:p>
    <w:p w14:paraId="21F977DD" w14:textId="77777777" w:rsidR="00CE0A36" w:rsidRDefault="00477A53">
      <w:pPr>
        <w:pStyle w:val="BodyText"/>
        <w:ind w:left="113" w:right="792"/>
      </w:pPr>
      <w:r>
        <w:t>For a more detailed discussion of conflicts of interest and how they might arise, please refer to ARPC’s Conflict of Interest Procedure.</w:t>
      </w:r>
    </w:p>
    <w:p w14:paraId="1283A048" w14:textId="77777777" w:rsidR="00CE0A36" w:rsidRDefault="00CE0A36">
      <w:pPr>
        <w:pStyle w:val="BodyText"/>
        <w:spacing w:before="5"/>
        <w:rPr>
          <w:sz w:val="25"/>
        </w:rPr>
      </w:pPr>
    </w:p>
    <w:p w14:paraId="5EA892C4" w14:textId="77777777" w:rsidR="00CE0A36" w:rsidRDefault="00477A53">
      <w:pPr>
        <w:pStyle w:val="Heading1"/>
        <w:numPr>
          <w:ilvl w:val="0"/>
          <w:numId w:val="11"/>
        </w:numPr>
        <w:tabs>
          <w:tab w:val="left" w:pos="474"/>
        </w:tabs>
        <w:spacing w:before="52"/>
      </w:pPr>
      <w:r>
        <w:t>Breach of</w:t>
      </w:r>
      <w:r>
        <w:rPr>
          <w:spacing w:val="-9"/>
        </w:rPr>
        <w:t xml:space="preserve"> </w:t>
      </w:r>
      <w:r>
        <w:t>procedure</w:t>
      </w:r>
    </w:p>
    <w:p w14:paraId="27CBC363" w14:textId="3C66BF4D" w:rsidR="00015F9B" w:rsidRPr="00604049" w:rsidRDefault="00477A53" w:rsidP="00604049">
      <w:pPr>
        <w:pStyle w:val="BodyText"/>
        <w:spacing w:before="1"/>
        <w:ind w:left="113" w:right="313"/>
      </w:pPr>
      <w:r>
        <w:t xml:space="preserve">Breaches of this procedure by ARPC staff or contractors may be investigated under the provisions of ARPC’s Values and Code of Conduct in the first instance but may also be investigated </w:t>
      </w:r>
      <w:r w:rsidR="00134E29">
        <w:t>in accordance with the Fraud Rule under section 10 of the PGPA Rule 2014.</w:t>
      </w:r>
    </w:p>
    <w:sectPr w:rsidR="00015F9B" w:rsidRPr="00604049" w:rsidSect="00604049">
      <w:headerReference w:type="default" r:id="rId14"/>
      <w:pgSz w:w="11910" w:h="16840"/>
      <w:pgMar w:top="1276" w:right="840" w:bottom="851" w:left="1020" w:header="612"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835E" w14:textId="77777777" w:rsidR="00A06592" w:rsidRDefault="00A06592">
      <w:r>
        <w:separator/>
      </w:r>
    </w:p>
  </w:endnote>
  <w:endnote w:type="continuationSeparator" w:id="0">
    <w:p w14:paraId="45CF941D" w14:textId="77777777" w:rsidR="00A06592" w:rsidRDefault="00A0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060573"/>
      <w:docPartObj>
        <w:docPartGallery w:val="Page Numbers (Bottom of Page)"/>
        <w:docPartUnique/>
      </w:docPartObj>
    </w:sdtPr>
    <w:sdtEndPr>
      <w:rPr>
        <w:noProof/>
      </w:rPr>
    </w:sdtEndPr>
    <w:sdtContent>
      <w:p w14:paraId="2418ABF1" w14:textId="5980FBA0" w:rsidR="008A1BAD" w:rsidRPr="00604049" w:rsidRDefault="002A7C10" w:rsidP="00604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F5E3" w14:textId="77777777" w:rsidR="00A06592" w:rsidRDefault="00A06592">
      <w:r>
        <w:separator/>
      </w:r>
    </w:p>
  </w:footnote>
  <w:footnote w:type="continuationSeparator" w:id="0">
    <w:p w14:paraId="38D30AD0" w14:textId="77777777" w:rsidR="00A06592" w:rsidRDefault="00A0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AF18" w14:textId="1C019DA2" w:rsidR="00CE0A36" w:rsidRDefault="002957A9">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78E37F15" wp14:editId="13493F16">
              <wp:simplePos x="0" y="0"/>
              <wp:positionH relativeFrom="page">
                <wp:posOffset>5372100</wp:posOffset>
              </wp:positionH>
              <wp:positionV relativeFrom="topMargin">
                <wp:align>bottom</wp:align>
              </wp:positionV>
              <wp:extent cx="1414145" cy="428625"/>
              <wp:effectExtent l="0" t="0" r="1460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4216" w14:textId="0545ADFB" w:rsidR="00CE0A36" w:rsidRDefault="00477A53">
                          <w:pPr>
                            <w:spacing w:line="244" w:lineRule="exact"/>
                            <w:ind w:left="20"/>
                            <w:rPr>
                              <w:b/>
                            </w:rPr>
                          </w:pPr>
                          <w:r>
                            <w:rPr>
                              <w:b/>
                              <w:color w:val="76923C"/>
                            </w:rPr>
                            <w:t>Procurement Procedure</w:t>
                          </w:r>
                          <w:r w:rsidR="00604049">
                            <w:rPr>
                              <w:b/>
                              <w:color w:val="76923C"/>
                            </w:rPr>
                            <w:t xml:space="preserve"> </w:t>
                          </w:r>
                          <w:r w:rsidR="00604049" w:rsidRPr="00604049">
                            <w:rPr>
                              <w:bCs/>
                              <w:i/>
                              <w:iCs/>
                              <w:color w:val="76923C"/>
                            </w:rPr>
                            <w:t>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37F15" id="_x0000_t202" coordsize="21600,21600" o:spt="202" path="m,l,21600r21600,l21600,xe">
              <v:stroke joinstyle="miter"/>
              <v:path gradientshapeok="t" o:connecttype="rect"/>
            </v:shapetype>
            <v:shape id="Text Box 1" o:spid="_x0000_s1026" type="#_x0000_t202" style="position:absolute;margin-left:423pt;margin-top:0;width:111.35pt;height:33.7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4y5QEAALYDAAAOAAAAZHJzL2Uyb0RvYy54bWysU9tu2zAMfR+wfxD0vjgx2qIw4hRdiw4D&#10;ugvQ9gNkWbKFWaJGKbGzrx8lx1m3vQ2DAYGiyMPDQ3p7M9mBHRQGA67mm9WaM+UktMZ1NX95fnh3&#10;zVmIwrViAKdqflSB3+zevtmOvlIl9DC0ChmBuFCNvuZ9jL4qiiB7ZUVYgVeOHjWgFZGu2BUtipHQ&#10;7VCU6/VVMQK2HkGqEMh7Pz/yXcbXWsn4ReugIhtqTtxiPjGfTTqL3VZUHQrfG3miIf6BhRXGUdEz&#10;1L2Igu3R/AVljUQIoONKgi1AayNV7oG62az/6OapF17lXkic4M8yhf8HKz8fviIzbc1LzpywNKJn&#10;NUX2Hia2SeqMPlQU9OQpLE7kpinnToN/BPktMAd3vXCdukWEsVeiJXY5s3iVOuOEBNKMn6ClMmIf&#10;IQNNGm2SjsRghE5TOp4nk6jIVPIifZecSXq7KK+vystErhDVku0xxA8KLEtGzZEmn9HF4THEOXQJ&#10;ScUcPJhhyNMf3G8OwkyezD4RnqnHqZlOajTQHqkPhHmZaPnJ6AF/cDbSItU8fN8LVJwNHx1pkbZu&#10;MXAxmsUQTlJqzSNns3kX5+3cezRdT8iz2g5uSS9tcitJ2JnFiSctRxbjtMhp+17fc9Sv3233EwAA&#10;//8DAFBLAwQUAAYACAAAACEAyDedOd4AAAAIAQAADwAAAGRycy9kb3ducmV2LnhtbEyPwU7DMBBE&#10;70j8g7VI3KgNAjeEOFWF4ISESNNDj068TazG6xC7bfh73BNcRlrNauZNsZrdwE44BetJwf1CAENq&#10;vbHUKdjW73cZsBA1GT14QgU/GGBVXl8VOjf+TBWeNrFjKYRCrhX0MY4556Ht0emw8CNS8vZ+cjqm&#10;c+q4mfQ5hbuBPwghudOWUkOvR3ztsT1sjk7BekfVm/3+bL6qfWXr+lnQhzwodXszr1+ARZzj3zNc&#10;8BM6lImp8UcygQ0KskeZtkQFSS+2kNkSWKNALp+AlwX/P6D8BQAA//8DAFBLAQItABQABgAIAAAA&#10;IQC2gziS/gAAAOEBAAATAAAAAAAAAAAAAAAAAAAAAABbQ29udGVudF9UeXBlc10ueG1sUEsBAi0A&#10;FAAGAAgAAAAhADj9If/WAAAAlAEAAAsAAAAAAAAAAAAAAAAALwEAAF9yZWxzLy5yZWxzUEsBAi0A&#10;FAAGAAgAAAAhAKE9/jLlAQAAtgMAAA4AAAAAAAAAAAAAAAAALgIAAGRycy9lMm9Eb2MueG1sUEsB&#10;Ai0AFAAGAAgAAAAhAMg3nTneAAAACAEAAA8AAAAAAAAAAAAAAAAAPwQAAGRycy9kb3ducmV2Lnht&#10;bFBLBQYAAAAABAAEAPMAAABKBQAAAAA=&#10;" filled="f" stroked="f">
              <v:textbox inset="0,0,0,0">
                <w:txbxContent>
                  <w:p w14:paraId="4A8F4216" w14:textId="0545ADFB" w:rsidR="00CE0A36" w:rsidRDefault="00477A53">
                    <w:pPr>
                      <w:spacing w:line="244" w:lineRule="exact"/>
                      <w:ind w:left="20"/>
                      <w:rPr>
                        <w:b/>
                      </w:rPr>
                    </w:pPr>
                    <w:r>
                      <w:rPr>
                        <w:b/>
                        <w:color w:val="76923C"/>
                      </w:rPr>
                      <w:t>Procurement Procedure</w:t>
                    </w:r>
                    <w:r w:rsidR="00604049">
                      <w:rPr>
                        <w:b/>
                        <w:color w:val="76923C"/>
                      </w:rPr>
                      <w:t xml:space="preserve"> </w:t>
                    </w:r>
                    <w:r w:rsidR="00604049" w:rsidRPr="00604049">
                      <w:rPr>
                        <w:bCs/>
                        <w:i/>
                        <w:iCs/>
                        <w:color w:val="76923C"/>
                      </w:rPr>
                      <w:t>November 2020</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BD7"/>
    <w:multiLevelType w:val="hybridMultilevel"/>
    <w:tmpl w:val="522EF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7F47B3"/>
    <w:multiLevelType w:val="hybridMultilevel"/>
    <w:tmpl w:val="B82C29AA"/>
    <w:lvl w:ilvl="0" w:tplc="C7525242">
      <w:numFmt w:val="bullet"/>
      <w:lvlText w:val=""/>
      <w:lvlJc w:val="left"/>
      <w:pPr>
        <w:ind w:left="833" w:hanging="360"/>
      </w:pPr>
      <w:rPr>
        <w:rFonts w:ascii="Symbol" w:eastAsia="Symbol" w:hAnsi="Symbol" w:cs="Symbol" w:hint="default"/>
        <w:w w:val="99"/>
        <w:sz w:val="22"/>
        <w:szCs w:val="22"/>
      </w:rPr>
    </w:lvl>
    <w:lvl w:ilvl="1" w:tplc="09962B28">
      <w:numFmt w:val="bullet"/>
      <w:lvlText w:val="•"/>
      <w:lvlJc w:val="left"/>
      <w:pPr>
        <w:ind w:left="1760" w:hanging="360"/>
      </w:pPr>
      <w:rPr>
        <w:rFonts w:hint="default"/>
      </w:rPr>
    </w:lvl>
    <w:lvl w:ilvl="2" w:tplc="0F6C1914">
      <w:numFmt w:val="bullet"/>
      <w:lvlText w:val="•"/>
      <w:lvlJc w:val="left"/>
      <w:pPr>
        <w:ind w:left="2681" w:hanging="360"/>
      </w:pPr>
      <w:rPr>
        <w:rFonts w:hint="default"/>
      </w:rPr>
    </w:lvl>
    <w:lvl w:ilvl="3" w:tplc="831406F8">
      <w:numFmt w:val="bullet"/>
      <w:lvlText w:val="•"/>
      <w:lvlJc w:val="left"/>
      <w:pPr>
        <w:ind w:left="3601" w:hanging="360"/>
      </w:pPr>
      <w:rPr>
        <w:rFonts w:hint="default"/>
      </w:rPr>
    </w:lvl>
    <w:lvl w:ilvl="4" w:tplc="C18EFBD8">
      <w:numFmt w:val="bullet"/>
      <w:lvlText w:val="•"/>
      <w:lvlJc w:val="left"/>
      <w:pPr>
        <w:ind w:left="4522" w:hanging="360"/>
      </w:pPr>
      <w:rPr>
        <w:rFonts w:hint="default"/>
      </w:rPr>
    </w:lvl>
    <w:lvl w:ilvl="5" w:tplc="522E3F1A">
      <w:numFmt w:val="bullet"/>
      <w:lvlText w:val="•"/>
      <w:lvlJc w:val="left"/>
      <w:pPr>
        <w:ind w:left="5443" w:hanging="360"/>
      </w:pPr>
      <w:rPr>
        <w:rFonts w:hint="default"/>
      </w:rPr>
    </w:lvl>
    <w:lvl w:ilvl="6" w:tplc="55DC7458">
      <w:numFmt w:val="bullet"/>
      <w:lvlText w:val="•"/>
      <w:lvlJc w:val="left"/>
      <w:pPr>
        <w:ind w:left="6363" w:hanging="360"/>
      </w:pPr>
      <w:rPr>
        <w:rFonts w:hint="default"/>
      </w:rPr>
    </w:lvl>
    <w:lvl w:ilvl="7" w:tplc="E8CC9A30">
      <w:numFmt w:val="bullet"/>
      <w:lvlText w:val="•"/>
      <w:lvlJc w:val="left"/>
      <w:pPr>
        <w:ind w:left="7284" w:hanging="360"/>
      </w:pPr>
      <w:rPr>
        <w:rFonts w:hint="default"/>
      </w:rPr>
    </w:lvl>
    <w:lvl w:ilvl="8" w:tplc="B4E2D87A">
      <w:numFmt w:val="bullet"/>
      <w:lvlText w:val="•"/>
      <w:lvlJc w:val="left"/>
      <w:pPr>
        <w:ind w:left="8205" w:hanging="360"/>
      </w:pPr>
      <w:rPr>
        <w:rFonts w:hint="default"/>
      </w:rPr>
    </w:lvl>
  </w:abstractNum>
  <w:abstractNum w:abstractNumId="2" w15:restartNumberingAfterBreak="0">
    <w:nsid w:val="17456BB4"/>
    <w:multiLevelType w:val="hybridMultilevel"/>
    <w:tmpl w:val="2C005996"/>
    <w:lvl w:ilvl="0" w:tplc="299E1E96">
      <w:numFmt w:val="bullet"/>
      <w:lvlText w:val=""/>
      <w:lvlJc w:val="left"/>
      <w:pPr>
        <w:ind w:left="833" w:hanging="360"/>
      </w:pPr>
      <w:rPr>
        <w:rFonts w:ascii="Symbol" w:eastAsia="Symbol" w:hAnsi="Symbol" w:cs="Symbol" w:hint="default"/>
        <w:w w:val="99"/>
        <w:sz w:val="22"/>
        <w:szCs w:val="22"/>
      </w:rPr>
    </w:lvl>
    <w:lvl w:ilvl="1" w:tplc="A8C4D3E4">
      <w:numFmt w:val="bullet"/>
      <w:lvlText w:val="•"/>
      <w:lvlJc w:val="left"/>
      <w:pPr>
        <w:ind w:left="1760" w:hanging="360"/>
      </w:pPr>
      <w:rPr>
        <w:rFonts w:hint="default"/>
      </w:rPr>
    </w:lvl>
    <w:lvl w:ilvl="2" w:tplc="824406F4">
      <w:numFmt w:val="bullet"/>
      <w:lvlText w:val="•"/>
      <w:lvlJc w:val="left"/>
      <w:pPr>
        <w:ind w:left="2681" w:hanging="360"/>
      </w:pPr>
      <w:rPr>
        <w:rFonts w:hint="default"/>
      </w:rPr>
    </w:lvl>
    <w:lvl w:ilvl="3" w:tplc="212E6290">
      <w:numFmt w:val="bullet"/>
      <w:lvlText w:val="•"/>
      <w:lvlJc w:val="left"/>
      <w:pPr>
        <w:ind w:left="3601" w:hanging="360"/>
      </w:pPr>
      <w:rPr>
        <w:rFonts w:hint="default"/>
      </w:rPr>
    </w:lvl>
    <w:lvl w:ilvl="4" w:tplc="A53A3E54">
      <w:numFmt w:val="bullet"/>
      <w:lvlText w:val="•"/>
      <w:lvlJc w:val="left"/>
      <w:pPr>
        <w:ind w:left="4522" w:hanging="360"/>
      </w:pPr>
      <w:rPr>
        <w:rFonts w:hint="default"/>
      </w:rPr>
    </w:lvl>
    <w:lvl w:ilvl="5" w:tplc="7F508F22">
      <w:numFmt w:val="bullet"/>
      <w:lvlText w:val="•"/>
      <w:lvlJc w:val="left"/>
      <w:pPr>
        <w:ind w:left="5443" w:hanging="360"/>
      </w:pPr>
      <w:rPr>
        <w:rFonts w:hint="default"/>
      </w:rPr>
    </w:lvl>
    <w:lvl w:ilvl="6" w:tplc="7DD4C798">
      <w:numFmt w:val="bullet"/>
      <w:lvlText w:val="•"/>
      <w:lvlJc w:val="left"/>
      <w:pPr>
        <w:ind w:left="6363" w:hanging="360"/>
      </w:pPr>
      <w:rPr>
        <w:rFonts w:hint="default"/>
      </w:rPr>
    </w:lvl>
    <w:lvl w:ilvl="7" w:tplc="BC049B0A">
      <w:numFmt w:val="bullet"/>
      <w:lvlText w:val="•"/>
      <w:lvlJc w:val="left"/>
      <w:pPr>
        <w:ind w:left="7284" w:hanging="360"/>
      </w:pPr>
      <w:rPr>
        <w:rFonts w:hint="default"/>
      </w:rPr>
    </w:lvl>
    <w:lvl w:ilvl="8" w:tplc="465A61A2">
      <w:numFmt w:val="bullet"/>
      <w:lvlText w:val="•"/>
      <w:lvlJc w:val="left"/>
      <w:pPr>
        <w:ind w:left="8205" w:hanging="360"/>
      </w:pPr>
      <w:rPr>
        <w:rFonts w:hint="default"/>
      </w:rPr>
    </w:lvl>
  </w:abstractNum>
  <w:abstractNum w:abstractNumId="3" w15:restartNumberingAfterBreak="0">
    <w:nsid w:val="1B3D2E9C"/>
    <w:multiLevelType w:val="hybridMultilevel"/>
    <w:tmpl w:val="B764F950"/>
    <w:lvl w:ilvl="0" w:tplc="004824BC">
      <w:numFmt w:val="bullet"/>
      <w:lvlText w:val=""/>
      <w:lvlJc w:val="left"/>
      <w:pPr>
        <w:ind w:left="833" w:hanging="360"/>
      </w:pPr>
      <w:rPr>
        <w:rFonts w:ascii="Symbol" w:eastAsia="Symbol" w:hAnsi="Symbol" w:cs="Symbol" w:hint="default"/>
        <w:w w:val="99"/>
        <w:sz w:val="22"/>
        <w:szCs w:val="22"/>
      </w:rPr>
    </w:lvl>
    <w:lvl w:ilvl="1" w:tplc="8324645A">
      <w:numFmt w:val="bullet"/>
      <w:lvlText w:val="•"/>
      <w:lvlJc w:val="left"/>
      <w:pPr>
        <w:ind w:left="1760" w:hanging="360"/>
      </w:pPr>
      <w:rPr>
        <w:rFonts w:hint="default"/>
      </w:rPr>
    </w:lvl>
    <w:lvl w:ilvl="2" w:tplc="58A631C4">
      <w:numFmt w:val="bullet"/>
      <w:lvlText w:val="•"/>
      <w:lvlJc w:val="left"/>
      <w:pPr>
        <w:ind w:left="2681" w:hanging="360"/>
      </w:pPr>
      <w:rPr>
        <w:rFonts w:hint="default"/>
      </w:rPr>
    </w:lvl>
    <w:lvl w:ilvl="3" w:tplc="A0C8ACEE">
      <w:numFmt w:val="bullet"/>
      <w:lvlText w:val="•"/>
      <w:lvlJc w:val="left"/>
      <w:pPr>
        <w:ind w:left="3601" w:hanging="360"/>
      </w:pPr>
      <w:rPr>
        <w:rFonts w:hint="default"/>
      </w:rPr>
    </w:lvl>
    <w:lvl w:ilvl="4" w:tplc="930478F0">
      <w:numFmt w:val="bullet"/>
      <w:lvlText w:val="•"/>
      <w:lvlJc w:val="left"/>
      <w:pPr>
        <w:ind w:left="4522" w:hanging="360"/>
      </w:pPr>
      <w:rPr>
        <w:rFonts w:hint="default"/>
      </w:rPr>
    </w:lvl>
    <w:lvl w:ilvl="5" w:tplc="F99EA764">
      <w:numFmt w:val="bullet"/>
      <w:lvlText w:val="•"/>
      <w:lvlJc w:val="left"/>
      <w:pPr>
        <w:ind w:left="5443" w:hanging="360"/>
      </w:pPr>
      <w:rPr>
        <w:rFonts w:hint="default"/>
      </w:rPr>
    </w:lvl>
    <w:lvl w:ilvl="6" w:tplc="59D243CA">
      <w:numFmt w:val="bullet"/>
      <w:lvlText w:val="•"/>
      <w:lvlJc w:val="left"/>
      <w:pPr>
        <w:ind w:left="6363" w:hanging="360"/>
      </w:pPr>
      <w:rPr>
        <w:rFonts w:hint="default"/>
      </w:rPr>
    </w:lvl>
    <w:lvl w:ilvl="7" w:tplc="14FA0CBE">
      <w:numFmt w:val="bullet"/>
      <w:lvlText w:val="•"/>
      <w:lvlJc w:val="left"/>
      <w:pPr>
        <w:ind w:left="7284" w:hanging="360"/>
      </w:pPr>
      <w:rPr>
        <w:rFonts w:hint="default"/>
      </w:rPr>
    </w:lvl>
    <w:lvl w:ilvl="8" w:tplc="47CCAE56">
      <w:numFmt w:val="bullet"/>
      <w:lvlText w:val="•"/>
      <w:lvlJc w:val="left"/>
      <w:pPr>
        <w:ind w:left="8205" w:hanging="360"/>
      </w:pPr>
      <w:rPr>
        <w:rFonts w:hint="default"/>
      </w:rPr>
    </w:lvl>
  </w:abstractNum>
  <w:abstractNum w:abstractNumId="4" w15:restartNumberingAfterBreak="0">
    <w:nsid w:val="1D394BD8"/>
    <w:multiLevelType w:val="hybridMultilevel"/>
    <w:tmpl w:val="CA5A72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097CE5"/>
    <w:multiLevelType w:val="hybridMultilevel"/>
    <w:tmpl w:val="8536D6E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15:restartNumberingAfterBreak="0">
    <w:nsid w:val="25A56BCB"/>
    <w:multiLevelType w:val="hybridMultilevel"/>
    <w:tmpl w:val="4B58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C8268C"/>
    <w:multiLevelType w:val="multilevel"/>
    <w:tmpl w:val="E1B8D82A"/>
    <w:lvl w:ilvl="0">
      <w:start w:val="14"/>
      <w:numFmt w:val="decimal"/>
      <w:lvlText w:val="%1"/>
      <w:lvlJc w:val="left"/>
      <w:pPr>
        <w:ind w:left="747" w:hanging="634"/>
      </w:pPr>
      <w:rPr>
        <w:rFonts w:hint="default"/>
      </w:rPr>
    </w:lvl>
    <w:lvl w:ilvl="1">
      <w:start w:val="1"/>
      <w:numFmt w:val="decimal"/>
      <w:lvlText w:val="%1.%2."/>
      <w:lvlJc w:val="left"/>
      <w:pPr>
        <w:ind w:left="747" w:hanging="634"/>
      </w:pPr>
      <w:rPr>
        <w:rFonts w:ascii="Calibri" w:eastAsia="Calibri" w:hAnsi="Calibri" w:cs="Calibri" w:hint="default"/>
        <w:b/>
        <w:bCs/>
        <w:w w:val="99"/>
        <w:sz w:val="22"/>
        <w:szCs w:val="22"/>
      </w:rPr>
    </w:lvl>
    <w:lvl w:ilvl="2">
      <w:start w:val="1"/>
      <w:numFmt w:val="decimal"/>
      <w:lvlText w:val="%3)"/>
      <w:lvlJc w:val="left"/>
      <w:pPr>
        <w:ind w:left="1193" w:hanging="360"/>
      </w:pPr>
      <w:rPr>
        <w:rFonts w:ascii="Calibri" w:eastAsia="Calibri" w:hAnsi="Calibri" w:cs="Calibri" w:hint="default"/>
        <w:w w:val="99"/>
        <w:sz w:val="22"/>
        <w:szCs w:val="22"/>
      </w:rPr>
    </w:lvl>
    <w:lvl w:ilvl="3">
      <w:numFmt w:val="bullet"/>
      <w:lvlText w:val="•"/>
      <w:lvlJc w:val="left"/>
      <w:pPr>
        <w:ind w:left="3165" w:hanging="360"/>
      </w:pPr>
      <w:rPr>
        <w:rFonts w:hint="default"/>
      </w:rPr>
    </w:lvl>
    <w:lvl w:ilvl="4">
      <w:numFmt w:val="bullet"/>
      <w:lvlText w:val="•"/>
      <w:lvlJc w:val="left"/>
      <w:pPr>
        <w:ind w:left="4148" w:hanging="360"/>
      </w:pPr>
      <w:rPr>
        <w:rFonts w:hint="default"/>
      </w:rPr>
    </w:lvl>
    <w:lvl w:ilvl="5">
      <w:numFmt w:val="bullet"/>
      <w:lvlText w:val="•"/>
      <w:lvlJc w:val="left"/>
      <w:pPr>
        <w:ind w:left="5131" w:hanging="360"/>
      </w:pPr>
      <w:rPr>
        <w:rFonts w:hint="default"/>
      </w:rPr>
    </w:lvl>
    <w:lvl w:ilvl="6">
      <w:numFmt w:val="bullet"/>
      <w:lvlText w:val="•"/>
      <w:lvlJc w:val="left"/>
      <w:pPr>
        <w:ind w:left="6114" w:hanging="360"/>
      </w:pPr>
      <w:rPr>
        <w:rFonts w:hint="default"/>
      </w:rPr>
    </w:lvl>
    <w:lvl w:ilvl="7">
      <w:numFmt w:val="bullet"/>
      <w:lvlText w:val="•"/>
      <w:lvlJc w:val="left"/>
      <w:pPr>
        <w:ind w:left="7097" w:hanging="360"/>
      </w:pPr>
      <w:rPr>
        <w:rFonts w:hint="default"/>
      </w:rPr>
    </w:lvl>
    <w:lvl w:ilvl="8">
      <w:numFmt w:val="bullet"/>
      <w:lvlText w:val="•"/>
      <w:lvlJc w:val="left"/>
      <w:pPr>
        <w:ind w:left="8080" w:hanging="360"/>
      </w:pPr>
      <w:rPr>
        <w:rFonts w:hint="default"/>
      </w:rPr>
    </w:lvl>
  </w:abstractNum>
  <w:abstractNum w:abstractNumId="8" w15:restartNumberingAfterBreak="0">
    <w:nsid w:val="2CC704B2"/>
    <w:multiLevelType w:val="hybridMultilevel"/>
    <w:tmpl w:val="C4B84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C024CC"/>
    <w:multiLevelType w:val="hybridMultilevel"/>
    <w:tmpl w:val="C8389F08"/>
    <w:lvl w:ilvl="0" w:tplc="A2E8378C">
      <w:numFmt w:val="bullet"/>
      <w:lvlText w:val="-"/>
      <w:lvlJc w:val="left"/>
      <w:pPr>
        <w:ind w:left="222" w:hanging="117"/>
      </w:pPr>
      <w:rPr>
        <w:rFonts w:ascii="Calibri" w:eastAsia="Calibri" w:hAnsi="Calibri" w:cs="Calibri" w:hint="default"/>
        <w:w w:val="99"/>
        <w:sz w:val="22"/>
        <w:szCs w:val="22"/>
      </w:rPr>
    </w:lvl>
    <w:lvl w:ilvl="1" w:tplc="62608F6E">
      <w:numFmt w:val="bullet"/>
      <w:lvlText w:val="•"/>
      <w:lvlJc w:val="left"/>
      <w:pPr>
        <w:ind w:left="749" w:hanging="117"/>
      </w:pPr>
      <w:rPr>
        <w:rFonts w:hint="default"/>
      </w:rPr>
    </w:lvl>
    <w:lvl w:ilvl="2" w:tplc="EFE823BC">
      <w:numFmt w:val="bullet"/>
      <w:lvlText w:val="•"/>
      <w:lvlJc w:val="left"/>
      <w:pPr>
        <w:ind w:left="1279" w:hanging="117"/>
      </w:pPr>
      <w:rPr>
        <w:rFonts w:hint="default"/>
      </w:rPr>
    </w:lvl>
    <w:lvl w:ilvl="3" w:tplc="36F25CD2">
      <w:numFmt w:val="bullet"/>
      <w:lvlText w:val="•"/>
      <w:lvlJc w:val="left"/>
      <w:pPr>
        <w:ind w:left="1809" w:hanging="117"/>
      </w:pPr>
      <w:rPr>
        <w:rFonts w:hint="default"/>
      </w:rPr>
    </w:lvl>
    <w:lvl w:ilvl="4" w:tplc="5BA89308">
      <w:numFmt w:val="bullet"/>
      <w:lvlText w:val="•"/>
      <w:lvlJc w:val="left"/>
      <w:pPr>
        <w:ind w:left="2339" w:hanging="117"/>
      </w:pPr>
      <w:rPr>
        <w:rFonts w:hint="default"/>
      </w:rPr>
    </w:lvl>
    <w:lvl w:ilvl="5" w:tplc="28D6E8A4">
      <w:numFmt w:val="bullet"/>
      <w:lvlText w:val="•"/>
      <w:lvlJc w:val="left"/>
      <w:pPr>
        <w:ind w:left="2869" w:hanging="117"/>
      </w:pPr>
      <w:rPr>
        <w:rFonts w:hint="default"/>
      </w:rPr>
    </w:lvl>
    <w:lvl w:ilvl="6" w:tplc="83D893F0">
      <w:numFmt w:val="bullet"/>
      <w:lvlText w:val="•"/>
      <w:lvlJc w:val="left"/>
      <w:pPr>
        <w:ind w:left="3399" w:hanging="117"/>
      </w:pPr>
      <w:rPr>
        <w:rFonts w:hint="default"/>
      </w:rPr>
    </w:lvl>
    <w:lvl w:ilvl="7" w:tplc="E482F762">
      <w:numFmt w:val="bullet"/>
      <w:lvlText w:val="•"/>
      <w:lvlJc w:val="left"/>
      <w:pPr>
        <w:ind w:left="3929" w:hanging="117"/>
      </w:pPr>
      <w:rPr>
        <w:rFonts w:hint="default"/>
      </w:rPr>
    </w:lvl>
    <w:lvl w:ilvl="8" w:tplc="0C462D46">
      <w:numFmt w:val="bullet"/>
      <w:lvlText w:val="•"/>
      <w:lvlJc w:val="left"/>
      <w:pPr>
        <w:ind w:left="4459" w:hanging="117"/>
      </w:pPr>
      <w:rPr>
        <w:rFonts w:hint="default"/>
      </w:rPr>
    </w:lvl>
  </w:abstractNum>
  <w:abstractNum w:abstractNumId="10" w15:restartNumberingAfterBreak="0">
    <w:nsid w:val="4C872765"/>
    <w:multiLevelType w:val="multilevel"/>
    <w:tmpl w:val="7954F062"/>
    <w:lvl w:ilvl="0">
      <w:start w:val="10"/>
      <w:numFmt w:val="decimal"/>
      <w:lvlText w:val="%1"/>
      <w:lvlJc w:val="left"/>
      <w:pPr>
        <w:ind w:left="747" w:hanging="634"/>
      </w:pPr>
      <w:rPr>
        <w:rFonts w:hint="default"/>
      </w:rPr>
    </w:lvl>
    <w:lvl w:ilvl="1">
      <w:start w:val="1"/>
      <w:numFmt w:val="decimal"/>
      <w:lvlText w:val="%1.%2."/>
      <w:lvlJc w:val="left"/>
      <w:pPr>
        <w:ind w:left="747" w:hanging="634"/>
      </w:pPr>
      <w:rPr>
        <w:rFonts w:ascii="Calibri" w:eastAsia="Calibri" w:hAnsi="Calibri" w:cs="Calibri" w:hint="default"/>
        <w:b/>
        <w:bCs/>
        <w:w w:val="99"/>
        <w:sz w:val="22"/>
        <w:szCs w:val="22"/>
      </w:rPr>
    </w:lvl>
    <w:lvl w:ilvl="2">
      <w:numFmt w:val="bullet"/>
      <w:lvlText w:val="•"/>
      <w:lvlJc w:val="left"/>
      <w:pPr>
        <w:ind w:left="1553" w:hanging="731"/>
      </w:pPr>
      <w:rPr>
        <w:rFonts w:ascii="Calibri" w:eastAsia="Calibri" w:hAnsi="Calibri" w:cs="Calibri" w:hint="default"/>
        <w:w w:val="99"/>
        <w:sz w:val="22"/>
        <w:szCs w:val="22"/>
      </w:rPr>
    </w:lvl>
    <w:lvl w:ilvl="3">
      <w:numFmt w:val="bullet"/>
      <w:lvlText w:val="•"/>
      <w:lvlJc w:val="left"/>
      <w:pPr>
        <w:ind w:left="3445" w:hanging="731"/>
      </w:pPr>
      <w:rPr>
        <w:rFonts w:hint="default"/>
      </w:rPr>
    </w:lvl>
    <w:lvl w:ilvl="4">
      <w:numFmt w:val="bullet"/>
      <w:lvlText w:val="•"/>
      <w:lvlJc w:val="left"/>
      <w:pPr>
        <w:ind w:left="4388" w:hanging="731"/>
      </w:pPr>
      <w:rPr>
        <w:rFonts w:hint="default"/>
      </w:rPr>
    </w:lvl>
    <w:lvl w:ilvl="5">
      <w:numFmt w:val="bullet"/>
      <w:lvlText w:val="•"/>
      <w:lvlJc w:val="left"/>
      <w:pPr>
        <w:ind w:left="5331" w:hanging="731"/>
      </w:pPr>
      <w:rPr>
        <w:rFonts w:hint="default"/>
      </w:rPr>
    </w:lvl>
    <w:lvl w:ilvl="6">
      <w:numFmt w:val="bullet"/>
      <w:lvlText w:val="•"/>
      <w:lvlJc w:val="left"/>
      <w:pPr>
        <w:ind w:left="6274" w:hanging="731"/>
      </w:pPr>
      <w:rPr>
        <w:rFonts w:hint="default"/>
      </w:rPr>
    </w:lvl>
    <w:lvl w:ilvl="7">
      <w:numFmt w:val="bullet"/>
      <w:lvlText w:val="•"/>
      <w:lvlJc w:val="left"/>
      <w:pPr>
        <w:ind w:left="7217" w:hanging="731"/>
      </w:pPr>
      <w:rPr>
        <w:rFonts w:hint="default"/>
      </w:rPr>
    </w:lvl>
    <w:lvl w:ilvl="8">
      <w:numFmt w:val="bullet"/>
      <w:lvlText w:val="•"/>
      <w:lvlJc w:val="left"/>
      <w:pPr>
        <w:ind w:left="8160" w:hanging="731"/>
      </w:pPr>
      <w:rPr>
        <w:rFonts w:hint="default"/>
      </w:rPr>
    </w:lvl>
  </w:abstractNum>
  <w:abstractNum w:abstractNumId="11" w15:restartNumberingAfterBreak="0">
    <w:nsid w:val="5E4016B1"/>
    <w:multiLevelType w:val="hybridMultilevel"/>
    <w:tmpl w:val="612A13EE"/>
    <w:lvl w:ilvl="0" w:tplc="E04C87FE">
      <w:start w:val="1"/>
      <w:numFmt w:val="decimal"/>
      <w:lvlText w:val="%1."/>
      <w:lvlJc w:val="left"/>
      <w:pPr>
        <w:ind w:left="474" w:hanging="360"/>
      </w:pPr>
      <w:rPr>
        <w:rFonts w:hint="default"/>
        <w:b/>
        <w:bCs/>
        <w:spacing w:val="-1"/>
        <w:w w:val="100"/>
      </w:rPr>
    </w:lvl>
    <w:lvl w:ilvl="1" w:tplc="841477A8">
      <w:numFmt w:val="bullet"/>
      <w:lvlText w:val="•"/>
      <w:lvlJc w:val="left"/>
      <w:pPr>
        <w:ind w:left="1554" w:hanging="731"/>
      </w:pPr>
      <w:rPr>
        <w:rFonts w:ascii="Calibri" w:eastAsia="Calibri" w:hAnsi="Calibri" w:cs="Calibri" w:hint="default"/>
        <w:w w:val="99"/>
        <w:sz w:val="22"/>
        <w:szCs w:val="22"/>
      </w:rPr>
    </w:lvl>
    <w:lvl w:ilvl="2" w:tplc="CF628678">
      <w:numFmt w:val="bullet"/>
      <w:lvlText w:val="•"/>
      <w:lvlJc w:val="left"/>
      <w:pPr>
        <w:ind w:left="2502" w:hanging="731"/>
      </w:pPr>
      <w:rPr>
        <w:rFonts w:hint="default"/>
      </w:rPr>
    </w:lvl>
    <w:lvl w:ilvl="3" w:tplc="16DC79B6">
      <w:numFmt w:val="bullet"/>
      <w:lvlText w:val="•"/>
      <w:lvlJc w:val="left"/>
      <w:pPr>
        <w:ind w:left="3445" w:hanging="731"/>
      </w:pPr>
      <w:rPr>
        <w:rFonts w:hint="default"/>
      </w:rPr>
    </w:lvl>
    <w:lvl w:ilvl="4" w:tplc="A030CB56">
      <w:numFmt w:val="bullet"/>
      <w:lvlText w:val="•"/>
      <w:lvlJc w:val="left"/>
      <w:pPr>
        <w:ind w:left="4388" w:hanging="731"/>
      </w:pPr>
      <w:rPr>
        <w:rFonts w:hint="default"/>
      </w:rPr>
    </w:lvl>
    <w:lvl w:ilvl="5" w:tplc="30DCDC1A">
      <w:numFmt w:val="bullet"/>
      <w:lvlText w:val="•"/>
      <w:lvlJc w:val="left"/>
      <w:pPr>
        <w:ind w:left="5331" w:hanging="731"/>
      </w:pPr>
      <w:rPr>
        <w:rFonts w:hint="default"/>
      </w:rPr>
    </w:lvl>
    <w:lvl w:ilvl="6" w:tplc="62CA5C90">
      <w:numFmt w:val="bullet"/>
      <w:lvlText w:val="•"/>
      <w:lvlJc w:val="left"/>
      <w:pPr>
        <w:ind w:left="6274" w:hanging="731"/>
      </w:pPr>
      <w:rPr>
        <w:rFonts w:hint="default"/>
      </w:rPr>
    </w:lvl>
    <w:lvl w:ilvl="7" w:tplc="5268C608">
      <w:numFmt w:val="bullet"/>
      <w:lvlText w:val="•"/>
      <w:lvlJc w:val="left"/>
      <w:pPr>
        <w:ind w:left="7217" w:hanging="731"/>
      </w:pPr>
      <w:rPr>
        <w:rFonts w:hint="default"/>
      </w:rPr>
    </w:lvl>
    <w:lvl w:ilvl="8" w:tplc="D69EE912">
      <w:numFmt w:val="bullet"/>
      <w:lvlText w:val="•"/>
      <w:lvlJc w:val="left"/>
      <w:pPr>
        <w:ind w:left="8160" w:hanging="731"/>
      </w:pPr>
      <w:rPr>
        <w:rFonts w:hint="default"/>
      </w:rPr>
    </w:lvl>
  </w:abstractNum>
  <w:abstractNum w:abstractNumId="12" w15:restartNumberingAfterBreak="0">
    <w:nsid w:val="5F01620F"/>
    <w:multiLevelType w:val="hybridMultilevel"/>
    <w:tmpl w:val="5CD82170"/>
    <w:lvl w:ilvl="0" w:tplc="1D8A876A">
      <w:numFmt w:val="bullet"/>
      <w:lvlText w:val=""/>
      <w:lvlJc w:val="left"/>
      <w:pPr>
        <w:ind w:left="834" w:hanging="360"/>
      </w:pPr>
      <w:rPr>
        <w:rFonts w:ascii="Symbol" w:eastAsia="Symbol" w:hAnsi="Symbol" w:cs="Symbol" w:hint="default"/>
        <w:w w:val="99"/>
        <w:sz w:val="22"/>
        <w:szCs w:val="22"/>
      </w:rPr>
    </w:lvl>
    <w:lvl w:ilvl="1" w:tplc="77EC3AB0">
      <w:numFmt w:val="bullet"/>
      <w:lvlText w:val="•"/>
      <w:lvlJc w:val="left"/>
      <w:pPr>
        <w:ind w:left="1760" w:hanging="360"/>
      </w:pPr>
      <w:rPr>
        <w:rFonts w:hint="default"/>
      </w:rPr>
    </w:lvl>
    <w:lvl w:ilvl="2" w:tplc="C47074A8">
      <w:numFmt w:val="bullet"/>
      <w:lvlText w:val="•"/>
      <w:lvlJc w:val="left"/>
      <w:pPr>
        <w:ind w:left="2681" w:hanging="360"/>
      </w:pPr>
      <w:rPr>
        <w:rFonts w:hint="default"/>
      </w:rPr>
    </w:lvl>
    <w:lvl w:ilvl="3" w:tplc="D4DA31DC">
      <w:numFmt w:val="bullet"/>
      <w:lvlText w:val="•"/>
      <w:lvlJc w:val="left"/>
      <w:pPr>
        <w:ind w:left="3601" w:hanging="360"/>
      </w:pPr>
      <w:rPr>
        <w:rFonts w:hint="default"/>
      </w:rPr>
    </w:lvl>
    <w:lvl w:ilvl="4" w:tplc="131EEDD4">
      <w:numFmt w:val="bullet"/>
      <w:lvlText w:val="•"/>
      <w:lvlJc w:val="left"/>
      <w:pPr>
        <w:ind w:left="4522" w:hanging="360"/>
      </w:pPr>
      <w:rPr>
        <w:rFonts w:hint="default"/>
      </w:rPr>
    </w:lvl>
    <w:lvl w:ilvl="5" w:tplc="6E728EAE">
      <w:numFmt w:val="bullet"/>
      <w:lvlText w:val="•"/>
      <w:lvlJc w:val="left"/>
      <w:pPr>
        <w:ind w:left="5443" w:hanging="360"/>
      </w:pPr>
      <w:rPr>
        <w:rFonts w:hint="default"/>
      </w:rPr>
    </w:lvl>
    <w:lvl w:ilvl="6" w:tplc="2F7403CA">
      <w:numFmt w:val="bullet"/>
      <w:lvlText w:val="•"/>
      <w:lvlJc w:val="left"/>
      <w:pPr>
        <w:ind w:left="6363" w:hanging="360"/>
      </w:pPr>
      <w:rPr>
        <w:rFonts w:hint="default"/>
      </w:rPr>
    </w:lvl>
    <w:lvl w:ilvl="7" w:tplc="DE1EB964">
      <w:numFmt w:val="bullet"/>
      <w:lvlText w:val="•"/>
      <w:lvlJc w:val="left"/>
      <w:pPr>
        <w:ind w:left="7284" w:hanging="360"/>
      </w:pPr>
      <w:rPr>
        <w:rFonts w:hint="default"/>
      </w:rPr>
    </w:lvl>
    <w:lvl w:ilvl="8" w:tplc="DACA0458">
      <w:numFmt w:val="bullet"/>
      <w:lvlText w:val="•"/>
      <w:lvlJc w:val="left"/>
      <w:pPr>
        <w:ind w:left="8205" w:hanging="360"/>
      </w:pPr>
      <w:rPr>
        <w:rFonts w:hint="default"/>
      </w:rPr>
    </w:lvl>
  </w:abstractNum>
  <w:abstractNum w:abstractNumId="13" w15:restartNumberingAfterBreak="0">
    <w:nsid w:val="63AD1EBC"/>
    <w:multiLevelType w:val="multilevel"/>
    <w:tmpl w:val="895E80B6"/>
    <w:lvl w:ilvl="0">
      <w:start w:val="3"/>
      <w:numFmt w:val="decimal"/>
      <w:lvlText w:val="%1"/>
      <w:lvlJc w:val="left"/>
      <w:pPr>
        <w:ind w:left="744" w:hanging="631"/>
      </w:pPr>
      <w:rPr>
        <w:rFonts w:hint="default"/>
      </w:rPr>
    </w:lvl>
    <w:lvl w:ilvl="1">
      <w:start w:val="1"/>
      <w:numFmt w:val="decimal"/>
      <w:lvlText w:val="%1.%2."/>
      <w:lvlJc w:val="left"/>
      <w:pPr>
        <w:ind w:left="744" w:hanging="631"/>
      </w:pPr>
      <w:rPr>
        <w:rFonts w:ascii="Calibri" w:eastAsia="Calibri" w:hAnsi="Calibri" w:cs="Calibri" w:hint="default"/>
        <w:b/>
        <w:bCs/>
        <w:w w:val="99"/>
        <w:sz w:val="22"/>
        <w:szCs w:val="22"/>
      </w:rPr>
    </w:lvl>
    <w:lvl w:ilvl="2">
      <w:numFmt w:val="bullet"/>
      <w:lvlText w:val=""/>
      <w:lvlJc w:val="left"/>
      <w:pPr>
        <w:ind w:left="833" w:hanging="360"/>
      </w:pPr>
      <w:rPr>
        <w:rFonts w:ascii="Symbol" w:eastAsia="Symbol" w:hAnsi="Symbol" w:cs="Symbol" w:hint="default"/>
        <w:w w:val="99"/>
        <w:sz w:val="22"/>
        <w:szCs w:val="22"/>
      </w:rPr>
    </w:lvl>
    <w:lvl w:ilvl="3">
      <w:numFmt w:val="bullet"/>
      <w:lvlText w:val="•"/>
      <w:lvlJc w:val="left"/>
      <w:pPr>
        <w:ind w:left="2885" w:hanging="360"/>
      </w:pPr>
      <w:rPr>
        <w:rFonts w:hint="default"/>
      </w:rPr>
    </w:lvl>
    <w:lvl w:ilvl="4">
      <w:numFmt w:val="bullet"/>
      <w:lvlText w:val="•"/>
      <w:lvlJc w:val="left"/>
      <w:pPr>
        <w:ind w:left="3908" w:hanging="360"/>
      </w:pPr>
      <w:rPr>
        <w:rFonts w:hint="default"/>
      </w:rPr>
    </w:lvl>
    <w:lvl w:ilvl="5">
      <w:numFmt w:val="bullet"/>
      <w:lvlText w:val="•"/>
      <w:lvlJc w:val="left"/>
      <w:pPr>
        <w:ind w:left="4931" w:hanging="360"/>
      </w:pPr>
      <w:rPr>
        <w:rFonts w:hint="default"/>
      </w:rPr>
    </w:lvl>
    <w:lvl w:ilvl="6">
      <w:numFmt w:val="bullet"/>
      <w:lvlText w:val="•"/>
      <w:lvlJc w:val="left"/>
      <w:pPr>
        <w:ind w:left="5954" w:hanging="360"/>
      </w:pPr>
      <w:rPr>
        <w:rFonts w:hint="default"/>
      </w:rPr>
    </w:lvl>
    <w:lvl w:ilvl="7">
      <w:numFmt w:val="bullet"/>
      <w:lvlText w:val="•"/>
      <w:lvlJc w:val="left"/>
      <w:pPr>
        <w:ind w:left="6977" w:hanging="360"/>
      </w:pPr>
      <w:rPr>
        <w:rFonts w:hint="default"/>
      </w:rPr>
    </w:lvl>
    <w:lvl w:ilvl="8">
      <w:numFmt w:val="bullet"/>
      <w:lvlText w:val="•"/>
      <w:lvlJc w:val="left"/>
      <w:pPr>
        <w:ind w:left="8000" w:hanging="360"/>
      </w:pPr>
      <w:rPr>
        <w:rFonts w:hint="default"/>
      </w:rPr>
    </w:lvl>
  </w:abstractNum>
  <w:abstractNum w:abstractNumId="14" w15:restartNumberingAfterBreak="0">
    <w:nsid w:val="71621C6D"/>
    <w:multiLevelType w:val="hybridMultilevel"/>
    <w:tmpl w:val="94F40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B330E0"/>
    <w:multiLevelType w:val="hybridMultilevel"/>
    <w:tmpl w:val="6ECCF68C"/>
    <w:lvl w:ilvl="0" w:tplc="1CB81360">
      <w:numFmt w:val="bullet"/>
      <w:lvlText w:val=""/>
      <w:lvlJc w:val="left"/>
      <w:pPr>
        <w:ind w:left="833" w:hanging="360"/>
      </w:pPr>
      <w:rPr>
        <w:rFonts w:ascii="Symbol" w:eastAsia="Symbol" w:hAnsi="Symbol" w:cs="Symbol" w:hint="default"/>
        <w:w w:val="99"/>
        <w:sz w:val="22"/>
        <w:szCs w:val="22"/>
      </w:rPr>
    </w:lvl>
    <w:lvl w:ilvl="1" w:tplc="CC32150A">
      <w:numFmt w:val="bullet"/>
      <w:lvlText w:val="•"/>
      <w:lvlJc w:val="left"/>
      <w:pPr>
        <w:ind w:left="1760" w:hanging="360"/>
      </w:pPr>
      <w:rPr>
        <w:rFonts w:hint="default"/>
      </w:rPr>
    </w:lvl>
    <w:lvl w:ilvl="2" w:tplc="87182D4C">
      <w:numFmt w:val="bullet"/>
      <w:lvlText w:val="•"/>
      <w:lvlJc w:val="left"/>
      <w:pPr>
        <w:ind w:left="2681" w:hanging="360"/>
      </w:pPr>
      <w:rPr>
        <w:rFonts w:hint="default"/>
      </w:rPr>
    </w:lvl>
    <w:lvl w:ilvl="3" w:tplc="3B826A60">
      <w:numFmt w:val="bullet"/>
      <w:lvlText w:val="•"/>
      <w:lvlJc w:val="left"/>
      <w:pPr>
        <w:ind w:left="3601" w:hanging="360"/>
      </w:pPr>
      <w:rPr>
        <w:rFonts w:hint="default"/>
      </w:rPr>
    </w:lvl>
    <w:lvl w:ilvl="4" w:tplc="6784AEAA">
      <w:numFmt w:val="bullet"/>
      <w:lvlText w:val="•"/>
      <w:lvlJc w:val="left"/>
      <w:pPr>
        <w:ind w:left="4522" w:hanging="360"/>
      </w:pPr>
      <w:rPr>
        <w:rFonts w:hint="default"/>
      </w:rPr>
    </w:lvl>
    <w:lvl w:ilvl="5" w:tplc="39EC8A50">
      <w:numFmt w:val="bullet"/>
      <w:lvlText w:val="•"/>
      <w:lvlJc w:val="left"/>
      <w:pPr>
        <w:ind w:left="5443" w:hanging="360"/>
      </w:pPr>
      <w:rPr>
        <w:rFonts w:hint="default"/>
      </w:rPr>
    </w:lvl>
    <w:lvl w:ilvl="6" w:tplc="92F09000">
      <w:numFmt w:val="bullet"/>
      <w:lvlText w:val="•"/>
      <w:lvlJc w:val="left"/>
      <w:pPr>
        <w:ind w:left="6363" w:hanging="360"/>
      </w:pPr>
      <w:rPr>
        <w:rFonts w:hint="default"/>
      </w:rPr>
    </w:lvl>
    <w:lvl w:ilvl="7" w:tplc="E99ED12C">
      <w:numFmt w:val="bullet"/>
      <w:lvlText w:val="•"/>
      <w:lvlJc w:val="left"/>
      <w:pPr>
        <w:ind w:left="7284" w:hanging="360"/>
      </w:pPr>
      <w:rPr>
        <w:rFonts w:hint="default"/>
      </w:rPr>
    </w:lvl>
    <w:lvl w:ilvl="8" w:tplc="115E9CD2">
      <w:numFmt w:val="bullet"/>
      <w:lvlText w:val="•"/>
      <w:lvlJc w:val="left"/>
      <w:pPr>
        <w:ind w:left="8205" w:hanging="360"/>
      </w:pPr>
      <w:rPr>
        <w:rFonts w:hint="default"/>
      </w:rPr>
    </w:lvl>
  </w:abstractNum>
  <w:abstractNum w:abstractNumId="16" w15:restartNumberingAfterBreak="0">
    <w:nsid w:val="7AEB6771"/>
    <w:multiLevelType w:val="hybridMultilevel"/>
    <w:tmpl w:val="EBE442FA"/>
    <w:lvl w:ilvl="0" w:tplc="0C090001">
      <w:start w:val="1"/>
      <w:numFmt w:val="bullet"/>
      <w:lvlText w:val=""/>
      <w:lvlJc w:val="left"/>
      <w:pPr>
        <w:ind w:left="833" w:hanging="361"/>
      </w:pPr>
      <w:rPr>
        <w:rFonts w:ascii="Symbol" w:hAnsi="Symbol" w:cs="Symbol" w:hint="default"/>
        <w:w w:val="99"/>
        <w:sz w:val="22"/>
        <w:szCs w:val="22"/>
      </w:rPr>
    </w:lvl>
    <w:lvl w:ilvl="1" w:tplc="3230E648">
      <w:numFmt w:val="bullet"/>
      <w:lvlText w:val="o"/>
      <w:lvlJc w:val="left"/>
      <w:pPr>
        <w:ind w:left="1554" w:hanging="360"/>
      </w:pPr>
      <w:rPr>
        <w:rFonts w:ascii="Courier New" w:eastAsia="Courier New" w:hAnsi="Courier New" w:cs="Courier New" w:hint="default"/>
        <w:w w:val="99"/>
        <w:sz w:val="22"/>
        <w:szCs w:val="22"/>
      </w:rPr>
    </w:lvl>
    <w:lvl w:ilvl="2" w:tplc="0BB0E534">
      <w:numFmt w:val="bullet"/>
      <w:lvlText w:val="•"/>
      <w:lvlJc w:val="left"/>
      <w:pPr>
        <w:ind w:left="2502" w:hanging="360"/>
      </w:pPr>
      <w:rPr>
        <w:rFonts w:hint="default"/>
      </w:rPr>
    </w:lvl>
    <w:lvl w:ilvl="3" w:tplc="8E6E88EC">
      <w:numFmt w:val="bullet"/>
      <w:lvlText w:val="•"/>
      <w:lvlJc w:val="left"/>
      <w:pPr>
        <w:ind w:left="3445" w:hanging="360"/>
      </w:pPr>
      <w:rPr>
        <w:rFonts w:hint="default"/>
      </w:rPr>
    </w:lvl>
    <w:lvl w:ilvl="4" w:tplc="2632CAE4">
      <w:numFmt w:val="bullet"/>
      <w:lvlText w:val="•"/>
      <w:lvlJc w:val="left"/>
      <w:pPr>
        <w:ind w:left="4388" w:hanging="360"/>
      </w:pPr>
      <w:rPr>
        <w:rFonts w:hint="default"/>
      </w:rPr>
    </w:lvl>
    <w:lvl w:ilvl="5" w:tplc="49C0CBD6">
      <w:numFmt w:val="bullet"/>
      <w:lvlText w:val="•"/>
      <w:lvlJc w:val="left"/>
      <w:pPr>
        <w:ind w:left="5331" w:hanging="360"/>
      </w:pPr>
      <w:rPr>
        <w:rFonts w:hint="default"/>
      </w:rPr>
    </w:lvl>
    <w:lvl w:ilvl="6" w:tplc="6A8E60DC">
      <w:numFmt w:val="bullet"/>
      <w:lvlText w:val="•"/>
      <w:lvlJc w:val="left"/>
      <w:pPr>
        <w:ind w:left="6274" w:hanging="360"/>
      </w:pPr>
      <w:rPr>
        <w:rFonts w:hint="default"/>
      </w:rPr>
    </w:lvl>
    <w:lvl w:ilvl="7" w:tplc="6810832E">
      <w:numFmt w:val="bullet"/>
      <w:lvlText w:val="•"/>
      <w:lvlJc w:val="left"/>
      <w:pPr>
        <w:ind w:left="7217" w:hanging="360"/>
      </w:pPr>
      <w:rPr>
        <w:rFonts w:hint="default"/>
      </w:rPr>
    </w:lvl>
    <w:lvl w:ilvl="8" w:tplc="0CFC85DE">
      <w:numFmt w:val="bullet"/>
      <w:lvlText w:val="•"/>
      <w:lvlJc w:val="left"/>
      <w:pPr>
        <w:ind w:left="8160" w:hanging="360"/>
      </w:pPr>
      <w:rPr>
        <w:rFonts w:hint="default"/>
      </w:rPr>
    </w:lvl>
  </w:abstractNum>
  <w:num w:numId="1">
    <w:abstractNumId w:val="9"/>
  </w:num>
  <w:num w:numId="2">
    <w:abstractNumId w:val="1"/>
  </w:num>
  <w:num w:numId="3">
    <w:abstractNumId w:val="7"/>
  </w:num>
  <w:num w:numId="4">
    <w:abstractNumId w:val="10"/>
  </w:num>
  <w:num w:numId="5">
    <w:abstractNumId w:val="12"/>
  </w:num>
  <w:num w:numId="6">
    <w:abstractNumId w:val="16"/>
  </w:num>
  <w:num w:numId="7">
    <w:abstractNumId w:val="2"/>
  </w:num>
  <w:num w:numId="8">
    <w:abstractNumId w:val="15"/>
  </w:num>
  <w:num w:numId="9">
    <w:abstractNumId w:val="13"/>
  </w:num>
  <w:num w:numId="10">
    <w:abstractNumId w:val="3"/>
  </w:num>
  <w:num w:numId="11">
    <w:abstractNumId w:val="11"/>
  </w:num>
  <w:num w:numId="12">
    <w:abstractNumId w:val="5"/>
  </w:num>
  <w:num w:numId="13">
    <w:abstractNumId w:val="14"/>
  </w:num>
  <w:num w:numId="14">
    <w:abstractNumId w:val="4"/>
  </w:num>
  <w:num w:numId="15">
    <w:abstractNumId w:val="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36"/>
    <w:rsid w:val="00001536"/>
    <w:rsid w:val="00005471"/>
    <w:rsid w:val="00014183"/>
    <w:rsid w:val="0001566F"/>
    <w:rsid w:val="00015F9B"/>
    <w:rsid w:val="0001629C"/>
    <w:rsid w:val="00023BF3"/>
    <w:rsid w:val="00026BFE"/>
    <w:rsid w:val="00027BB4"/>
    <w:rsid w:val="000349B8"/>
    <w:rsid w:val="00035E29"/>
    <w:rsid w:val="000418CA"/>
    <w:rsid w:val="0005137C"/>
    <w:rsid w:val="000730A9"/>
    <w:rsid w:val="00080679"/>
    <w:rsid w:val="00090CE2"/>
    <w:rsid w:val="00092216"/>
    <w:rsid w:val="00092C6A"/>
    <w:rsid w:val="00097CFC"/>
    <w:rsid w:val="000A2C70"/>
    <w:rsid w:val="000B2127"/>
    <w:rsid w:val="000B7122"/>
    <w:rsid w:val="000D2755"/>
    <w:rsid w:val="000F1883"/>
    <w:rsid w:val="000F6574"/>
    <w:rsid w:val="00106FE3"/>
    <w:rsid w:val="001075A6"/>
    <w:rsid w:val="001120DD"/>
    <w:rsid w:val="001247ED"/>
    <w:rsid w:val="0012595B"/>
    <w:rsid w:val="0013350C"/>
    <w:rsid w:val="00134E29"/>
    <w:rsid w:val="00136E12"/>
    <w:rsid w:val="0014423D"/>
    <w:rsid w:val="00150273"/>
    <w:rsid w:val="001642F2"/>
    <w:rsid w:val="00167ABE"/>
    <w:rsid w:val="00172639"/>
    <w:rsid w:val="001900B8"/>
    <w:rsid w:val="0019516C"/>
    <w:rsid w:val="001A4958"/>
    <w:rsid w:val="001B0846"/>
    <w:rsid w:val="001C2250"/>
    <w:rsid w:val="001D4D64"/>
    <w:rsid w:val="001D6D43"/>
    <w:rsid w:val="001E08B8"/>
    <w:rsid w:val="001E5B00"/>
    <w:rsid w:val="001E6D81"/>
    <w:rsid w:val="001F1F14"/>
    <w:rsid w:val="002101DB"/>
    <w:rsid w:val="0021516C"/>
    <w:rsid w:val="00227189"/>
    <w:rsid w:val="0024237B"/>
    <w:rsid w:val="0024516A"/>
    <w:rsid w:val="002521EB"/>
    <w:rsid w:val="002636E0"/>
    <w:rsid w:val="00264DF7"/>
    <w:rsid w:val="00282D52"/>
    <w:rsid w:val="002869A8"/>
    <w:rsid w:val="002957A9"/>
    <w:rsid w:val="002A71DD"/>
    <w:rsid w:val="002A7C10"/>
    <w:rsid w:val="002B36E7"/>
    <w:rsid w:val="002D7543"/>
    <w:rsid w:val="002E0F4A"/>
    <w:rsid w:val="00315E5C"/>
    <w:rsid w:val="00320EFC"/>
    <w:rsid w:val="00324546"/>
    <w:rsid w:val="003448A1"/>
    <w:rsid w:val="00344C1B"/>
    <w:rsid w:val="00345B16"/>
    <w:rsid w:val="00346C5B"/>
    <w:rsid w:val="00376ABC"/>
    <w:rsid w:val="00377769"/>
    <w:rsid w:val="0039779D"/>
    <w:rsid w:val="003C2372"/>
    <w:rsid w:val="003E287E"/>
    <w:rsid w:val="003E291E"/>
    <w:rsid w:val="003E67A8"/>
    <w:rsid w:val="00400F62"/>
    <w:rsid w:val="00404DD9"/>
    <w:rsid w:val="00416C55"/>
    <w:rsid w:val="00423079"/>
    <w:rsid w:val="004316FD"/>
    <w:rsid w:val="00446178"/>
    <w:rsid w:val="004479DE"/>
    <w:rsid w:val="0045795A"/>
    <w:rsid w:val="00461C3B"/>
    <w:rsid w:val="004779E3"/>
    <w:rsid w:val="00477A53"/>
    <w:rsid w:val="004846C2"/>
    <w:rsid w:val="004976FE"/>
    <w:rsid w:val="004B18F0"/>
    <w:rsid w:val="004B18F7"/>
    <w:rsid w:val="004B622B"/>
    <w:rsid w:val="004D18B7"/>
    <w:rsid w:val="004D230B"/>
    <w:rsid w:val="004D7430"/>
    <w:rsid w:val="004F7FC5"/>
    <w:rsid w:val="005040A8"/>
    <w:rsid w:val="005072DB"/>
    <w:rsid w:val="00512AFC"/>
    <w:rsid w:val="005175F9"/>
    <w:rsid w:val="00531729"/>
    <w:rsid w:val="00540CD9"/>
    <w:rsid w:val="005579BE"/>
    <w:rsid w:val="00563587"/>
    <w:rsid w:val="005654DD"/>
    <w:rsid w:val="005950E0"/>
    <w:rsid w:val="005A1EEC"/>
    <w:rsid w:val="005C0C41"/>
    <w:rsid w:val="005C44C3"/>
    <w:rsid w:val="005D3D44"/>
    <w:rsid w:val="005E4469"/>
    <w:rsid w:val="005E5935"/>
    <w:rsid w:val="00604049"/>
    <w:rsid w:val="006070B3"/>
    <w:rsid w:val="00634C3B"/>
    <w:rsid w:val="00640C22"/>
    <w:rsid w:val="006468DA"/>
    <w:rsid w:val="006535D7"/>
    <w:rsid w:val="00656D1A"/>
    <w:rsid w:val="006702DC"/>
    <w:rsid w:val="006825DE"/>
    <w:rsid w:val="006A3BCF"/>
    <w:rsid w:val="006B0ADD"/>
    <w:rsid w:val="006B14C2"/>
    <w:rsid w:val="006B7EAA"/>
    <w:rsid w:val="006C3634"/>
    <w:rsid w:val="006C706F"/>
    <w:rsid w:val="006D12EC"/>
    <w:rsid w:val="006D2C4F"/>
    <w:rsid w:val="006E155A"/>
    <w:rsid w:val="006E68E4"/>
    <w:rsid w:val="006F0D9C"/>
    <w:rsid w:val="00705EA0"/>
    <w:rsid w:val="007154A4"/>
    <w:rsid w:val="00730F3D"/>
    <w:rsid w:val="007378DD"/>
    <w:rsid w:val="0074160C"/>
    <w:rsid w:val="00741DC5"/>
    <w:rsid w:val="00743D2C"/>
    <w:rsid w:val="007747DC"/>
    <w:rsid w:val="0078148F"/>
    <w:rsid w:val="00781803"/>
    <w:rsid w:val="00795C44"/>
    <w:rsid w:val="007A713A"/>
    <w:rsid w:val="007B0276"/>
    <w:rsid w:val="007D48BD"/>
    <w:rsid w:val="007D5EF3"/>
    <w:rsid w:val="007E5E5D"/>
    <w:rsid w:val="007E7AE1"/>
    <w:rsid w:val="007F1531"/>
    <w:rsid w:val="007F25CE"/>
    <w:rsid w:val="00806ADC"/>
    <w:rsid w:val="00811537"/>
    <w:rsid w:val="00813286"/>
    <w:rsid w:val="0081536A"/>
    <w:rsid w:val="008208CD"/>
    <w:rsid w:val="00820E8C"/>
    <w:rsid w:val="00822CDF"/>
    <w:rsid w:val="00824649"/>
    <w:rsid w:val="008308F7"/>
    <w:rsid w:val="00830D0A"/>
    <w:rsid w:val="00837EED"/>
    <w:rsid w:val="0085324F"/>
    <w:rsid w:val="00862E6D"/>
    <w:rsid w:val="008801ED"/>
    <w:rsid w:val="00891583"/>
    <w:rsid w:val="00892A50"/>
    <w:rsid w:val="0089326C"/>
    <w:rsid w:val="008A1BAD"/>
    <w:rsid w:val="008C35E9"/>
    <w:rsid w:val="008D0486"/>
    <w:rsid w:val="008F1EE3"/>
    <w:rsid w:val="008F22DF"/>
    <w:rsid w:val="00913095"/>
    <w:rsid w:val="0091578C"/>
    <w:rsid w:val="0092009E"/>
    <w:rsid w:val="009201E4"/>
    <w:rsid w:val="009270D5"/>
    <w:rsid w:val="00936BD6"/>
    <w:rsid w:val="00955525"/>
    <w:rsid w:val="00957031"/>
    <w:rsid w:val="00960A25"/>
    <w:rsid w:val="00981D70"/>
    <w:rsid w:val="00982CCC"/>
    <w:rsid w:val="00984F5D"/>
    <w:rsid w:val="00987FCA"/>
    <w:rsid w:val="0099125D"/>
    <w:rsid w:val="00994615"/>
    <w:rsid w:val="009A0507"/>
    <w:rsid w:val="009B3FD2"/>
    <w:rsid w:val="009B7472"/>
    <w:rsid w:val="009C39EB"/>
    <w:rsid w:val="009D1985"/>
    <w:rsid w:val="009D2862"/>
    <w:rsid w:val="009D2FBC"/>
    <w:rsid w:val="009D3E9B"/>
    <w:rsid w:val="009E513C"/>
    <w:rsid w:val="00A06592"/>
    <w:rsid w:val="00A10DBB"/>
    <w:rsid w:val="00A14D0E"/>
    <w:rsid w:val="00A34AC2"/>
    <w:rsid w:val="00A426E2"/>
    <w:rsid w:val="00A46EBD"/>
    <w:rsid w:val="00A50B2D"/>
    <w:rsid w:val="00A55D13"/>
    <w:rsid w:val="00A564DD"/>
    <w:rsid w:val="00A6006C"/>
    <w:rsid w:val="00A719BE"/>
    <w:rsid w:val="00A7626F"/>
    <w:rsid w:val="00AB481D"/>
    <w:rsid w:val="00AC108A"/>
    <w:rsid w:val="00AD037D"/>
    <w:rsid w:val="00AD3896"/>
    <w:rsid w:val="00AD485E"/>
    <w:rsid w:val="00AD74F2"/>
    <w:rsid w:val="00AE04A5"/>
    <w:rsid w:val="00AE4CFB"/>
    <w:rsid w:val="00AE599C"/>
    <w:rsid w:val="00AF218C"/>
    <w:rsid w:val="00B00F5D"/>
    <w:rsid w:val="00B06AF8"/>
    <w:rsid w:val="00B143B1"/>
    <w:rsid w:val="00B14801"/>
    <w:rsid w:val="00B34863"/>
    <w:rsid w:val="00B407BF"/>
    <w:rsid w:val="00B50254"/>
    <w:rsid w:val="00B813F8"/>
    <w:rsid w:val="00B86133"/>
    <w:rsid w:val="00BA1C0A"/>
    <w:rsid w:val="00BB6F42"/>
    <w:rsid w:val="00BC23F0"/>
    <w:rsid w:val="00BD093C"/>
    <w:rsid w:val="00BF023C"/>
    <w:rsid w:val="00BF23D8"/>
    <w:rsid w:val="00C069A9"/>
    <w:rsid w:val="00C16A89"/>
    <w:rsid w:val="00C31063"/>
    <w:rsid w:val="00C31AEF"/>
    <w:rsid w:val="00C410C8"/>
    <w:rsid w:val="00C46C09"/>
    <w:rsid w:val="00C47FB8"/>
    <w:rsid w:val="00C57C41"/>
    <w:rsid w:val="00C63715"/>
    <w:rsid w:val="00CA6C58"/>
    <w:rsid w:val="00CB1390"/>
    <w:rsid w:val="00CB37C2"/>
    <w:rsid w:val="00CE07C4"/>
    <w:rsid w:val="00CE0A36"/>
    <w:rsid w:val="00CE65E3"/>
    <w:rsid w:val="00D03AB7"/>
    <w:rsid w:val="00D20AAC"/>
    <w:rsid w:val="00D31B49"/>
    <w:rsid w:val="00D43930"/>
    <w:rsid w:val="00D53C0B"/>
    <w:rsid w:val="00D560C6"/>
    <w:rsid w:val="00D6221F"/>
    <w:rsid w:val="00D73696"/>
    <w:rsid w:val="00D97BC0"/>
    <w:rsid w:val="00DB2CCB"/>
    <w:rsid w:val="00DC054D"/>
    <w:rsid w:val="00DE777A"/>
    <w:rsid w:val="00E069D9"/>
    <w:rsid w:val="00E2379D"/>
    <w:rsid w:val="00E60188"/>
    <w:rsid w:val="00E609E1"/>
    <w:rsid w:val="00E661D9"/>
    <w:rsid w:val="00E67DC2"/>
    <w:rsid w:val="00E723B6"/>
    <w:rsid w:val="00E77770"/>
    <w:rsid w:val="00E82990"/>
    <w:rsid w:val="00EA0193"/>
    <w:rsid w:val="00EA06A3"/>
    <w:rsid w:val="00EA2E18"/>
    <w:rsid w:val="00EB0C0C"/>
    <w:rsid w:val="00EE443E"/>
    <w:rsid w:val="00EE56B8"/>
    <w:rsid w:val="00EF0E0A"/>
    <w:rsid w:val="00EF16BB"/>
    <w:rsid w:val="00EF50E5"/>
    <w:rsid w:val="00EF7AA0"/>
    <w:rsid w:val="00F11887"/>
    <w:rsid w:val="00F13027"/>
    <w:rsid w:val="00F16CBA"/>
    <w:rsid w:val="00F2186B"/>
    <w:rsid w:val="00F326E4"/>
    <w:rsid w:val="00F34A16"/>
    <w:rsid w:val="00F40152"/>
    <w:rsid w:val="00F60A40"/>
    <w:rsid w:val="00F62755"/>
    <w:rsid w:val="00FA3A6B"/>
    <w:rsid w:val="00FB2B88"/>
    <w:rsid w:val="00FB36B4"/>
    <w:rsid w:val="00FB64AA"/>
    <w:rsid w:val="00FB73DF"/>
    <w:rsid w:val="00FD3430"/>
    <w:rsid w:val="00FF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D1096"/>
  <w15:docId w15:val="{C856AD0E-B198-4B9A-914D-7D9CEB2C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74" w:hanging="360"/>
      <w:outlineLvl w:val="0"/>
    </w:pPr>
    <w:rPr>
      <w:b/>
      <w:bCs/>
      <w:sz w:val="24"/>
      <w:szCs w:val="24"/>
    </w:rPr>
  </w:style>
  <w:style w:type="paragraph" w:styleId="Heading2">
    <w:name w:val="heading 2"/>
    <w:basedOn w:val="Normal"/>
    <w:uiPriority w:val="9"/>
    <w:unhideWhenUsed/>
    <w:qFormat/>
    <w:pPr>
      <w:ind w:left="7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81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03"/>
    <w:rPr>
      <w:rFonts w:ascii="Segoe UI" w:eastAsia="Calibri" w:hAnsi="Segoe UI" w:cs="Segoe UI"/>
      <w:sz w:val="18"/>
      <w:szCs w:val="18"/>
    </w:rPr>
  </w:style>
  <w:style w:type="character" w:styleId="Hyperlink">
    <w:name w:val="Hyperlink"/>
    <w:basedOn w:val="DefaultParagraphFont"/>
    <w:uiPriority w:val="99"/>
    <w:unhideWhenUsed/>
    <w:rsid w:val="00315E5C"/>
    <w:rPr>
      <w:color w:val="0000FF" w:themeColor="hyperlink"/>
      <w:u w:val="single"/>
    </w:rPr>
  </w:style>
  <w:style w:type="character" w:customStyle="1" w:styleId="UnresolvedMention1">
    <w:name w:val="Unresolved Mention1"/>
    <w:basedOn w:val="DefaultParagraphFont"/>
    <w:uiPriority w:val="99"/>
    <w:semiHidden/>
    <w:unhideWhenUsed/>
    <w:rsid w:val="00315E5C"/>
    <w:rPr>
      <w:color w:val="605E5C"/>
      <w:shd w:val="clear" w:color="auto" w:fill="E1DFDD"/>
    </w:rPr>
  </w:style>
  <w:style w:type="character" w:styleId="CommentReference">
    <w:name w:val="annotation reference"/>
    <w:basedOn w:val="DefaultParagraphFont"/>
    <w:uiPriority w:val="99"/>
    <w:semiHidden/>
    <w:unhideWhenUsed/>
    <w:rsid w:val="000349B8"/>
    <w:rPr>
      <w:sz w:val="16"/>
      <w:szCs w:val="16"/>
    </w:rPr>
  </w:style>
  <w:style w:type="paragraph" w:styleId="CommentText">
    <w:name w:val="annotation text"/>
    <w:basedOn w:val="Normal"/>
    <w:link w:val="CommentTextChar"/>
    <w:uiPriority w:val="99"/>
    <w:semiHidden/>
    <w:unhideWhenUsed/>
    <w:rsid w:val="000349B8"/>
    <w:rPr>
      <w:sz w:val="20"/>
      <w:szCs w:val="20"/>
    </w:rPr>
  </w:style>
  <w:style w:type="character" w:customStyle="1" w:styleId="CommentTextChar">
    <w:name w:val="Comment Text Char"/>
    <w:basedOn w:val="DefaultParagraphFont"/>
    <w:link w:val="CommentText"/>
    <w:uiPriority w:val="99"/>
    <w:semiHidden/>
    <w:rsid w:val="000349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49B8"/>
    <w:rPr>
      <w:b/>
      <w:bCs/>
    </w:rPr>
  </w:style>
  <w:style w:type="character" w:customStyle="1" w:styleId="CommentSubjectChar">
    <w:name w:val="Comment Subject Char"/>
    <w:basedOn w:val="CommentTextChar"/>
    <w:link w:val="CommentSubject"/>
    <w:uiPriority w:val="99"/>
    <w:semiHidden/>
    <w:rsid w:val="000349B8"/>
    <w:rPr>
      <w:rFonts w:ascii="Calibri" w:eastAsia="Calibri" w:hAnsi="Calibri" w:cs="Calibri"/>
      <w:b/>
      <w:bCs/>
      <w:sz w:val="20"/>
      <w:szCs w:val="20"/>
    </w:rPr>
  </w:style>
  <w:style w:type="paragraph" w:styleId="Revision">
    <w:name w:val="Revision"/>
    <w:hidden/>
    <w:uiPriority w:val="99"/>
    <w:semiHidden/>
    <w:rsid w:val="000349B8"/>
    <w:pPr>
      <w:widowControl/>
      <w:autoSpaceDE/>
      <w:autoSpaceDN/>
    </w:pPr>
    <w:rPr>
      <w:rFonts w:ascii="Calibri" w:eastAsia="Calibri" w:hAnsi="Calibri" w:cs="Calibri"/>
    </w:rPr>
  </w:style>
  <w:style w:type="paragraph" w:styleId="Header">
    <w:name w:val="header"/>
    <w:basedOn w:val="Normal"/>
    <w:link w:val="HeaderChar"/>
    <w:uiPriority w:val="99"/>
    <w:unhideWhenUsed/>
    <w:rsid w:val="008A1BAD"/>
    <w:pPr>
      <w:tabs>
        <w:tab w:val="center" w:pos="4513"/>
        <w:tab w:val="right" w:pos="9026"/>
      </w:tabs>
    </w:pPr>
  </w:style>
  <w:style w:type="character" w:customStyle="1" w:styleId="HeaderChar">
    <w:name w:val="Header Char"/>
    <w:basedOn w:val="DefaultParagraphFont"/>
    <w:link w:val="Header"/>
    <w:uiPriority w:val="99"/>
    <w:rsid w:val="008A1BAD"/>
    <w:rPr>
      <w:rFonts w:ascii="Calibri" w:eastAsia="Calibri" w:hAnsi="Calibri" w:cs="Calibri"/>
    </w:rPr>
  </w:style>
  <w:style w:type="paragraph" w:styleId="Footer">
    <w:name w:val="footer"/>
    <w:basedOn w:val="Normal"/>
    <w:link w:val="FooterChar"/>
    <w:uiPriority w:val="99"/>
    <w:unhideWhenUsed/>
    <w:rsid w:val="008A1BAD"/>
    <w:pPr>
      <w:tabs>
        <w:tab w:val="center" w:pos="4513"/>
        <w:tab w:val="right" w:pos="9026"/>
      </w:tabs>
    </w:pPr>
  </w:style>
  <w:style w:type="character" w:customStyle="1" w:styleId="FooterChar">
    <w:name w:val="Footer Char"/>
    <w:basedOn w:val="DefaultParagraphFont"/>
    <w:link w:val="Footer"/>
    <w:uiPriority w:val="99"/>
    <w:rsid w:val="008A1BAD"/>
    <w:rPr>
      <w:rFonts w:ascii="Calibri" w:eastAsia="Calibri" w:hAnsi="Calibri" w:cs="Calibri"/>
    </w:rPr>
  </w:style>
  <w:style w:type="character" w:styleId="UnresolvedMention">
    <w:name w:val="Unresolved Mention"/>
    <w:basedOn w:val="DefaultParagraphFont"/>
    <w:uiPriority w:val="99"/>
    <w:semiHidden/>
    <w:unhideWhenUsed/>
    <w:rsid w:val="00023BF3"/>
    <w:rPr>
      <w:color w:val="605E5C"/>
      <w:shd w:val="clear" w:color="auto" w:fill="E1DFDD"/>
    </w:rPr>
  </w:style>
  <w:style w:type="table" w:styleId="TableGrid">
    <w:name w:val="Table Grid"/>
    <w:basedOn w:val="TableNormal"/>
    <w:uiPriority w:val="39"/>
    <w:rsid w:val="002636E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636E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2636E0"/>
  </w:style>
  <w:style w:type="character" w:customStyle="1" w:styleId="eop">
    <w:name w:val="eop"/>
    <w:basedOn w:val="DefaultParagraphFont"/>
    <w:rsid w:val="002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 xmlns="193d2b7f-05f7-4e58-9518-e46a74282b94">2019/2020</Financial_x0020_Year>
    <Harradine_x0020_GOV xmlns="193d2b7f-05f7-4e58-9518-e46a74282b94">General administration files (EXC)</Harradine_x0020_GOV>
    <_dlc_DocIdPersistId xmlns="193d2b7f-05f7-4e58-9518-e46a74282b94">false</_dlc_DocIdPersistId>
    <_dlc_DocId xmlns="193d2b7f-05f7-4e58-9518-e46a74282b94">ARPC-1688169305-2292</_dlc_DocId>
    <_dlc_DocIdUrl xmlns="193d2b7f-05f7-4e58-9518-e46a74282b94">
      <Url>https://arpc1.sharepoint.com/g%26c/_layouts/15/DocIdRedir.aspx?ID=ARPC-1688169305-2292</Url>
      <Description>ARPC-1688169305-2292</Description>
    </_dlc_DocIdUrl>
    <Security_x0020_Marker xmlns="193d2b7f-05f7-4e58-9518-e46a74282b94">UNCLASSIFIED</Security_x0020_Marker>
    <Disposal_x0020_Class_x0020_Gov_x0020_Compliance xmlns="193d2b7f-05f7-4e58-9518-e46a74282b94">Compliance_Disposal Action - Destroy 7 years after action completed - AFDA Express - Class 20342</Disposal_x0020_Class_x0020_Gov_x0020_Complia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45" ma:contentTypeDescription="Create a new document." ma:contentTypeScope="" ma:versionID="7ab9ebb70136ca37be00c148379758c4">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d821ccaa229cd9ea4646af02c06d7b88"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19/2020"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Compliance_Disposal Action - Destroy 7 years after action completed - AFDA Express - Class 20342" ma:format="Dropdown" ma:internalName="Disposal_x0020_Class_x0020_Gov_x0020_Compliance" ma:readOnly="fals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1769-C54C-4863-8246-4DE4E1994C5C}">
  <ds:schemaRef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193d2b7f-05f7-4e58-9518-e46a74282b94"/>
    <ds:schemaRef ds:uri="http://schemas.microsoft.com/office/2006/documentManagement/types"/>
    <ds:schemaRef ds:uri="21fab640-3a12-4191-bbec-cff227eadb76"/>
    <ds:schemaRef ds:uri="http://purl.org/dc/dcmitype/"/>
  </ds:schemaRefs>
</ds:datastoreItem>
</file>

<file path=customXml/itemProps2.xml><?xml version="1.0" encoding="utf-8"?>
<ds:datastoreItem xmlns:ds="http://schemas.openxmlformats.org/officeDocument/2006/customXml" ds:itemID="{B3688DFF-EB90-4233-A967-E779B5143EC6}">
  <ds:schemaRefs>
    <ds:schemaRef ds:uri="http://schemas.microsoft.com/sharepoint/events"/>
  </ds:schemaRefs>
</ds:datastoreItem>
</file>

<file path=customXml/itemProps3.xml><?xml version="1.0" encoding="utf-8"?>
<ds:datastoreItem xmlns:ds="http://schemas.openxmlformats.org/officeDocument/2006/customXml" ds:itemID="{B8BA9BA2-CBA5-452C-A3FF-8E7C0A485E6D}">
  <ds:schemaRefs>
    <ds:schemaRef ds:uri="http://schemas.microsoft.com/sharepoint/v3/contenttype/forms"/>
  </ds:schemaRefs>
</ds:datastoreItem>
</file>

<file path=customXml/itemProps4.xml><?xml version="1.0" encoding="utf-8"?>
<ds:datastoreItem xmlns:ds="http://schemas.openxmlformats.org/officeDocument/2006/customXml" ds:itemID="{16E332CE-1AB2-4419-AD6E-C0118BEF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F7118D-F8DB-41A1-A53A-531CF1E0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Procedure DRAFT 31 March 2020 (AGS Comments 30 April 2020).docx</dc:title>
  <dc:creator>Gordon, Justin</dc:creator>
  <cp:lastModifiedBy>Alanna O'Meara</cp:lastModifiedBy>
  <cp:revision>53</cp:revision>
  <cp:lastPrinted>2020-11-02T22:27:00Z</cp:lastPrinted>
  <dcterms:created xsi:type="dcterms:W3CDTF">2020-07-03T04:09:00Z</dcterms:created>
  <dcterms:modified xsi:type="dcterms:W3CDTF">2020-11-17T05:43:00Z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18 for Word</vt:lpwstr>
  </property>
  <property fmtid="{D5CDD505-2E9C-101B-9397-08002B2CF9AE}" pid="4" name="LastSaved">
    <vt:filetime>2020-03-30T00:00:00Z</vt:filetime>
  </property>
  <property fmtid="{D5CDD505-2E9C-101B-9397-08002B2CF9AE}" pid="5" name="ContentTypeId">
    <vt:lpwstr>0x01010041B486BE453DDC4BBEC35FF2A3C448C7</vt:lpwstr>
  </property>
  <property fmtid="{D5CDD505-2E9C-101B-9397-08002B2CF9AE}" pid="6" name="_dlc_DocIdItemGuid">
    <vt:lpwstr>f827fd1b-31cb-4b60-8b72-d77d589ae29e</vt:lpwstr>
  </property>
  <property fmtid="{D5CDD505-2E9C-101B-9397-08002B2CF9AE}" pid="7" name="ObjectiveRef">
    <vt:lpwstr>Removed</vt:lpwstr>
  </property>
  <property fmtid="{D5CDD505-2E9C-101B-9397-08002B2CF9AE}" pid="8" name="LeadingLawyers">
    <vt:lpwstr>Removed</vt:lpwstr>
  </property>
  <property fmtid="{D5CDD505-2E9C-101B-9397-08002B2CF9AE}" pid="9" name="WSFooter">
    <vt:lpwstr>37319989</vt:lpwstr>
  </property>
  <property fmtid="{D5CDD505-2E9C-101B-9397-08002B2CF9AE}" pid="10" name="Financial Year">
    <vt:lpwstr>2019/2020</vt:lpwstr>
  </property>
  <property fmtid="{D5CDD505-2E9C-101B-9397-08002B2CF9AE}" pid="11" name="Review Status">
    <vt:lpwstr>Due for Review</vt:lpwstr>
  </property>
  <property fmtid="{D5CDD505-2E9C-101B-9397-08002B2CF9AE}" pid="12" name="Document Type">
    <vt:lpwstr>Policy</vt:lpwstr>
  </property>
  <property fmtid="{D5CDD505-2E9C-101B-9397-08002B2CF9AE}" pid="13" name="Policy Approver">
    <vt:lpwstr>Board</vt:lpwstr>
  </property>
  <property fmtid="{D5CDD505-2E9C-101B-9397-08002B2CF9AE}" pid="14" name="Review Cycle">
    <vt:lpwstr/>
  </property>
  <property fmtid="{D5CDD505-2E9C-101B-9397-08002B2CF9AE}" pid="15" name="Last Reviewed">
    <vt:lpwstr/>
  </property>
  <property fmtid="{D5CDD505-2E9C-101B-9397-08002B2CF9AE}" pid="16" name="Next Review">
    <vt:lpwstr/>
  </property>
  <property fmtid="{D5CDD505-2E9C-101B-9397-08002B2CF9AE}" pid="17" name="Security Marker Official">
    <vt:lpwstr>UNCLASSIFIED</vt:lpwstr>
  </property>
  <property fmtid="{D5CDD505-2E9C-101B-9397-08002B2CF9AE}" pid="18" name="Disposal Class Policy">
    <vt:lpwstr>Policy_Disposal Action - Destroy 7 years after action completed - AFDA Express - Class 20342</vt:lpwstr>
  </property>
  <property fmtid="{D5CDD505-2E9C-101B-9397-08002B2CF9AE}" pid="19" name="Harradine GOV">
    <vt:lpwstr>General administration files (EXC)</vt:lpwstr>
  </property>
  <property fmtid="{D5CDD505-2E9C-101B-9397-08002B2CF9AE}" pid="20" name="DocumentSetDescription">
    <vt:lpwstr/>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Security Marker">
    <vt:lpwstr>UNCLASSIFIED</vt:lpwstr>
  </property>
  <property fmtid="{D5CDD505-2E9C-101B-9397-08002B2CF9AE}" pid="25" name="xd_Signature">
    <vt:bool>false</vt:bool>
  </property>
</Properties>
</file>