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633843" w14:textId="77777777" w:rsidR="00556B20" w:rsidRDefault="00556B20" w:rsidP="005F7837">
      <w:pPr>
        <w:pStyle w:val="ARPCBodyCopy"/>
      </w:pPr>
      <w:bookmarkStart w:id="0" w:name="_GoBack"/>
      <w:bookmarkEnd w:id="0"/>
      <w:r>
        <w:br w:type="page"/>
      </w:r>
    </w:p>
    <w:p w14:paraId="22724373" w14:textId="77777777" w:rsidR="00556B20" w:rsidRDefault="0079426F" w:rsidP="005F7837">
      <w:pPr>
        <w:pStyle w:val="Bodytext"/>
      </w:pPr>
      <w:r>
        <w:rPr>
          <w:rFonts w:ascii="Trebuchet MS" w:eastAsiaTheme="majorEastAsia" w:hAnsi="Trebuchet MS" w:cstheme="majorBidi"/>
          <w:b/>
          <w:caps/>
          <w:color w:val="004B91" w:themeColor="accent2"/>
          <w:sz w:val="32"/>
          <w:szCs w:val="24"/>
        </w:rPr>
        <w:lastRenderedPageBreak/>
        <w:t>CONTENTS</w:t>
      </w:r>
    </w:p>
    <w:p w14:paraId="149255D7" w14:textId="0E4F531E" w:rsidR="002F3B7E" w:rsidRDefault="0079426F">
      <w:pPr>
        <w:pStyle w:val="TOC1"/>
        <w:tabs>
          <w:tab w:val="left" w:pos="426"/>
          <w:tab w:val="right" w:leader="dot" w:pos="8290"/>
        </w:tabs>
        <w:rPr>
          <w:rFonts w:asciiTheme="minorHAnsi" w:hAnsiTheme="minorHAnsi"/>
          <w:noProof/>
          <w:sz w:val="22"/>
          <w:szCs w:val="22"/>
          <w:lang w:eastAsia="en-AU"/>
        </w:rPr>
      </w:pPr>
      <w:r>
        <w:fldChar w:fldCharType="begin"/>
      </w:r>
      <w:r>
        <w:instrText xml:space="preserve"> TOC \h \z \t "Heading 1,1,Heading 3,2" </w:instrText>
      </w:r>
      <w:r>
        <w:fldChar w:fldCharType="separate"/>
      </w:r>
      <w:hyperlink w:anchor="_Toc522221636" w:history="1">
        <w:r w:rsidR="002F3B7E" w:rsidRPr="00A65B96">
          <w:rPr>
            <w:rStyle w:val="Hyperlink"/>
            <w:noProof/>
          </w:rPr>
          <w:t>1.</w:t>
        </w:r>
        <w:r w:rsidR="002F3B7E">
          <w:rPr>
            <w:rFonts w:asciiTheme="minorHAnsi" w:hAnsiTheme="minorHAnsi"/>
            <w:noProof/>
            <w:sz w:val="22"/>
            <w:szCs w:val="22"/>
            <w:lang w:eastAsia="en-AU"/>
          </w:rPr>
          <w:tab/>
        </w:r>
        <w:r w:rsidR="002F3B7E" w:rsidRPr="00A65B96">
          <w:rPr>
            <w:rStyle w:val="Hyperlink"/>
            <w:noProof/>
          </w:rPr>
          <w:t>EXECUTIVE SUMMARY</w:t>
        </w:r>
        <w:r w:rsidR="002F3B7E">
          <w:rPr>
            <w:noProof/>
            <w:webHidden/>
          </w:rPr>
          <w:tab/>
        </w:r>
        <w:r w:rsidR="002F3B7E">
          <w:rPr>
            <w:noProof/>
            <w:webHidden/>
          </w:rPr>
          <w:fldChar w:fldCharType="begin"/>
        </w:r>
        <w:r w:rsidR="002F3B7E">
          <w:rPr>
            <w:noProof/>
            <w:webHidden/>
          </w:rPr>
          <w:instrText xml:space="preserve"> PAGEREF _Toc522221636 \h </w:instrText>
        </w:r>
        <w:r w:rsidR="002F3B7E">
          <w:rPr>
            <w:noProof/>
            <w:webHidden/>
          </w:rPr>
        </w:r>
        <w:r w:rsidR="002F3B7E">
          <w:rPr>
            <w:noProof/>
            <w:webHidden/>
          </w:rPr>
          <w:fldChar w:fldCharType="separate"/>
        </w:r>
        <w:r w:rsidR="000D1BB1">
          <w:rPr>
            <w:noProof/>
            <w:webHidden/>
          </w:rPr>
          <w:t>4</w:t>
        </w:r>
        <w:r w:rsidR="002F3B7E">
          <w:rPr>
            <w:noProof/>
            <w:webHidden/>
          </w:rPr>
          <w:fldChar w:fldCharType="end"/>
        </w:r>
      </w:hyperlink>
    </w:p>
    <w:p w14:paraId="4CF3E263" w14:textId="2E9B0F1B" w:rsidR="002F3B7E" w:rsidRDefault="008B179F">
      <w:pPr>
        <w:pStyle w:val="TOC1"/>
        <w:tabs>
          <w:tab w:val="left" w:pos="426"/>
          <w:tab w:val="right" w:leader="dot" w:pos="8290"/>
        </w:tabs>
        <w:rPr>
          <w:rFonts w:asciiTheme="minorHAnsi" w:hAnsiTheme="minorHAnsi"/>
          <w:noProof/>
          <w:sz w:val="22"/>
          <w:szCs w:val="22"/>
          <w:lang w:eastAsia="en-AU"/>
        </w:rPr>
      </w:pPr>
      <w:hyperlink w:anchor="_Toc522221637" w:history="1">
        <w:r w:rsidR="002F3B7E" w:rsidRPr="00A65B96">
          <w:rPr>
            <w:rStyle w:val="Hyperlink"/>
            <w:noProof/>
          </w:rPr>
          <w:t>2.</w:t>
        </w:r>
        <w:r w:rsidR="002F3B7E">
          <w:rPr>
            <w:rFonts w:asciiTheme="minorHAnsi" w:hAnsiTheme="minorHAnsi"/>
            <w:noProof/>
            <w:sz w:val="22"/>
            <w:szCs w:val="22"/>
            <w:lang w:eastAsia="en-AU"/>
          </w:rPr>
          <w:tab/>
        </w:r>
        <w:r w:rsidR="002F3B7E" w:rsidRPr="00A65B96">
          <w:rPr>
            <w:rStyle w:val="Hyperlink"/>
            <w:noProof/>
          </w:rPr>
          <w:t>INTRODUCTION</w:t>
        </w:r>
        <w:r w:rsidR="002F3B7E">
          <w:rPr>
            <w:noProof/>
            <w:webHidden/>
          </w:rPr>
          <w:tab/>
        </w:r>
        <w:r w:rsidR="002F3B7E">
          <w:rPr>
            <w:noProof/>
            <w:webHidden/>
          </w:rPr>
          <w:fldChar w:fldCharType="begin"/>
        </w:r>
        <w:r w:rsidR="002F3B7E">
          <w:rPr>
            <w:noProof/>
            <w:webHidden/>
          </w:rPr>
          <w:instrText xml:space="preserve"> PAGEREF _Toc522221637 \h </w:instrText>
        </w:r>
        <w:r w:rsidR="002F3B7E">
          <w:rPr>
            <w:noProof/>
            <w:webHidden/>
          </w:rPr>
        </w:r>
        <w:r w:rsidR="002F3B7E">
          <w:rPr>
            <w:noProof/>
            <w:webHidden/>
          </w:rPr>
          <w:fldChar w:fldCharType="separate"/>
        </w:r>
        <w:r w:rsidR="000D1BB1">
          <w:rPr>
            <w:noProof/>
            <w:webHidden/>
          </w:rPr>
          <w:t>8</w:t>
        </w:r>
        <w:r w:rsidR="002F3B7E">
          <w:rPr>
            <w:noProof/>
            <w:webHidden/>
          </w:rPr>
          <w:fldChar w:fldCharType="end"/>
        </w:r>
      </w:hyperlink>
    </w:p>
    <w:p w14:paraId="4340BC2B" w14:textId="3083DEBE" w:rsidR="002F3B7E" w:rsidRDefault="008B179F">
      <w:pPr>
        <w:pStyle w:val="TOC2"/>
        <w:rPr>
          <w:rFonts w:asciiTheme="minorHAnsi" w:hAnsiTheme="minorHAnsi"/>
          <w:sz w:val="22"/>
          <w:szCs w:val="22"/>
          <w:lang w:eastAsia="en-AU"/>
        </w:rPr>
      </w:pPr>
      <w:hyperlink w:anchor="_Toc522221638" w:history="1">
        <w:r w:rsidR="002F3B7E" w:rsidRPr="00A65B96">
          <w:rPr>
            <w:rStyle w:val="Hyperlink"/>
          </w:rPr>
          <w:t>Background</w:t>
        </w:r>
        <w:r w:rsidR="002F3B7E">
          <w:rPr>
            <w:webHidden/>
          </w:rPr>
          <w:tab/>
        </w:r>
        <w:r w:rsidR="002F3B7E">
          <w:rPr>
            <w:webHidden/>
          </w:rPr>
          <w:fldChar w:fldCharType="begin"/>
        </w:r>
        <w:r w:rsidR="002F3B7E">
          <w:rPr>
            <w:webHidden/>
          </w:rPr>
          <w:instrText xml:space="preserve"> PAGEREF _Toc522221638 \h </w:instrText>
        </w:r>
        <w:r w:rsidR="002F3B7E">
          <w:rPr>
            <w:webHidden/>
          </w:rPr>
        </w:r>
        <w:r w:rsidR="002F3B7E">
          <w:rPr>
            <w:webHidden/>
          </w:rPr>
          <w:fldChar w:fldCharType="separate"/>
        </w:r>
        <w:r w:rsidR="000D1BB1">
          <w:rPr>
            <w:webHidden/>
          </w:rPr>
          <w:t>9</w:t>
        </w:r>
        <w:r w:rsidR="002F3B7E">
          <w:rPr>
            <w:webHidden/>
          </w:rPr>
          <w:fldChar w:fldCharType="end"/>
        </w:r>
      </w:hyperlink>
    </w:p>
    <w:p w14:paraId="257F8D0C" w14:textId="2EBDD41D" w:rsidR="002F3B7E" w:rsidRDefault="008B179F">
      <w:pPr>
        <w:pStyle w:val="TOC2"/>
        <w:rPr>
          <w:rFonts w:asciiTheme="minorHAnsi" w:hAnsiTheme="minorHAnsi"/>
          <w:sz w:val="22"/>
          <w:szCs w:val="22"/>
          <w:lang w:eastAsia="en-AU"/>
        </w:rPr>
      </w:pPr>
      <w:hyperlink w:anchor="_Toc522221639" w:history="1">
        <w:r w:rsidR="002F3B7E" w:rsidRPr="00A65B96">
          <w:rPr>
            <w:rStyle w:val="Hyperlink"/>
          </w:rPr>
          <w:t>Purpose</w:t>
        </w:r>
        <w:r w:rsidR="002F3B7E">
          <w:rPr>
            <w:webHidden/>
          </w:rPr>
          <w:tab/>
        </w:r>
        <w:r w:rsidR="002F3B7E">
          <w:rPr>
            <w:webHidden/>
          </w:rPr>
          <w:fldChar w:fldCharType="begin"/>
        </w:r>
        <w:r w:rsidR="002F3B7E">
          <w:rPr>
            <w:webHidden/>
          </w:rPr>
          <w:instrText xml:space="preserve"> PAGEREF _Toc522221639 \h </w:instrText>
        </w:r>
        <w:r w:rsidR="002F3B7E">
          <w:rPr>
            <w:webHidden/>
          </w:rPr>
        </w:r>
        <w:r w:rsidR="002F3B7E">
          <w:rPr>
            <w:webHidden/>
          </w:rPr>
          <w:fldChar w:fldCharType="separate"/>
        </w:r>
        <w:r w:rsidR="000D1BB1">
          <w:rPr>
            <w:webHidden/>
          </w:rPr>
          <w:t>10</w:t>
        </w:r>
        <w:r w:rsidR="002F3B7E">
          <w:rPr>
            <w:webHidden/>
          </w:rPr>
          <w:fldChar w:fldCharType="end"/>
        </w:r>
      </w:hyperlink>
    </w:p>
    <w:p w14:paraId="2952CD84" w14:textId="02D44CDC" w:rsidR="002F3B7E" w:rsidRDefault="008B179F">
      <w:pPr>
        <w:pStyle w:val="TOC2"/>
        <w:rPr>
          <w:rFonts w:asciiTheme="minorHAnsi" w:hAnsiTheme="minorHAnsi"/>
          <w:sz w:val="22"/>
          <w:szCs w:val="22"/>
          <w:lang w:eastAsia="en-AU"/>
        </w:rPr>
      </w:pPr>
      <w:hyperlink w:anchor="_Toc522221640" w:history="1">
        <w:r w:rsidR="002F3B7E" w:rsidRPr="00A65B96">
          <w:rPr>
            <w:rStyle w:val="Hyperlink"/>
          </w:rPr>
          <w:t>Vision</w:t>
        </w:r>
        <w:r w:rsidR="002F3B7E">
          <w:rPr>
            <w:webHidden/>
          </w:rPr>
          <w:tab/>
        </w:r>
        <w:r w:rsidR="002F3B7E">
          <w:rPr>
            <w:webHidden/>
          </w:rPr>
          <w:fldChar w:fldCharType="begin"/>
        </w:r>
        <w:r w:rsidR="002F3B7E">
          <w:rPr>
            <w:webHidden/>
          </w:rPr>
          <w:instrText xml:space="preserve"> PAGEREF _Toc522221640 \h </w:instrText>
        </w:r>
        <w:r w:rsidR="002F3B7E">
          <w:rPr>
            <w:webHidden/>
          </w:rPr>
        </w:r>
        <w:r w:rsidR="002F3B7E">
          <w:rPr>
            <w:webHidden/>
          </w:rPr>
          <w:fldChar w:fldCharType="separate"/>
        </w:r>
        <w:r w:rsidR="000D1BB1">
          <w:rPr>
            <w:webHidden/>
          </w:rPr>
          <w:t>10</w:t>
        </w:r>
        <w:r w:rsidR="002F3B7E">
          <w:rPr>
            <w:webHidden/>
          </w:rPr>
          <w:fldChar w:fldCharType="end"/>
        </w:r>
      </w:hyperlink>
    </w:p>
    <w:p w14:paraId="68A317B8" w14:textId="6C621466" w:rsidR="002F3B7E" w:rsidRDefault="008B179F">
      <w:pPr>
        <w:pStyle w:val="TOC2"/>
        <w:rPr>
          <w:rFonts w:asciiTheme="minorHAnsi" w:hAnsiTheme="minorHAnsi"/>
          <w:sz w:val="22"/>
          <w:szCs w:val="22"/>
          <w:lang w:eastAsia="en-AU"/>
        </w:rPr>
      </w:pPr>
      <w:hyperlink w:anchor="_Toc522221641" w:history="1">
        <w:r w:rsidR="002F3B7E" w:rsidRPr="00A65B96">
          <w:rPr>
            <w:rStyle w:val="Hyperlink"/>
          </w:rPr>
          <w:t>Mission</w:t>
        </w:r>
        <w:r w:rsidR="002F3B7E">
          <w:rPr>
            <w:webHidden/>
          </w:rPr>
          <w:tab/>
        </w:r>
        <w:r w:rsidR="002F3B7E">
          <w:rPr>
            <w:webHidden/>
          </w:rPr>
          <w:fldChar w:fldCharType="begin"/>
        </w:r>
        <w:r w:rsidR="002F3B7E">
          <w:rPr>
            <w:webHidden/>
          </w:rPr>
          <w:instrText xml:space="preserve"> PAGEREF _Toc522221641 \h </w:instrText>
        </w:r>
        <w:r w:rsidR="002F3B7E">
          <w:rPr>
            <w:webHidden/>
          </w:rPr>
        </w:r>
        <w:r w:rsidR="002F3B7E">
          <w:rPr>
            <w:webHidden/>
          </w:rPr>
          <w:fldChar w:fldCharType="separate"/>
        </w:r>
        <w:r w:rsidR="000D1BB1">
          <w:rPr>
            <w:webHidden/>
          </w:rPr>
          <w:t>10</w:t>
        </w:r>
        <w:r w:rsidR="002F3B7E">
          <w:rPr>
            <w:webHidden/>
          </w:rPr>
          <w:fldChar w:fldCharType="end"/>
        </w:r>
      </w:hyperlink>
    </w:p>
    <w:p w14:paraId="53D1D4B8" w14:textId="1055C437" w:rsidR="002F3B7E" w:rsidRDefault="008B179F">
      <w:pPr>
        <w:pStyle w:val="TOC2"/>
        <w:rPr>
          <w:rFonts w:asciiTheme="minorHAnsi" w:hAnsiTheme="minorHAnsi"/>
          <w:sz w:val="22"/>
          <w:szCs w:val="22"/>
          <w:lang w:eastAsia="en-AU"/>
        </w:rPr>
      </w:pPr>
      <w:hyperlink w:anchor="_Toc522221642" w:history="1">
        <w:r w:rsidR="002F3B7E" w:rsidRPr="00A65B96">
          <w:rPr>
            <w:rStyle w:val="Hyperlink"/>
          </w:rPr>
          <w:t>Strategic priorities</w:t>
        </w:r>
        <w:r w:rsidR="002F3B7E">
          <w:rPr>
            <w:webHidden/>
          </w:rPr>
          <w:tab/>
        </w:r>
        <w:r w:rsidR="002F3B7E">
          <w:rPr>
            <w:webHidden/>
          </w:rPr>
          <w:fldChar w:fldCharType="begin"/>
        </w:r>
        <w:r w:rsidR="002F3B7E">
          <w:rPr>
            <w:webHidden/>
          </w:rPr>
          <w:instrText xml:space="preserve"> PAGEREF _Toc522221642 \h </w:instrText>
        </w:r>
        <w:r w:rsidR="002F3B7E">
          <w:rPr>
            <w:webHidden/>
          </w:rPr>
        </w:r>
        <w:r w:rsidR="002F3B7E">
          <w:rPr>
            <w:webHidden/>
          </w:rPr>
          <w:fldChar w:fldCharType="separate"/>
        </w:r>
        <w:r w:rsidR="000D1BB1">
          <w:rPr>
            <w:webHidden/>
          </w:rPr>
          <w:t>10</w:t>
        </w:r>
        <w:r w:rsidR="002F3B7E">
          <w:rPr>
            <w:webHidden/>
          </w:rPr>
          <w:fldChar w:fldCharType="end"/>
        </w:r>
      </w:hyperlink>
    </w:p>
    <w:p w14:paraId="33DA7FBF" w14:textId="6CE9FDED" w:rsidR="002F3B7E" w:rsidRDefault="008B179F">
      <w:pPr>
        <w:pStyle w:val="TOC2"/>
        <w:rPr>
          <w:rFonts w:asciiTheme="minorHAnsi" w:hAnsiTheme="minorHAnsi"/>
          <w:sz w:val="22"/>
          <w:szCs w:val="22"/>
          <w:lang w:eastAsia="en-AU"/>
        </w:rPr>
      </w:pPr>
      <w:hyperlink w:anchor="_Toc522221643" w:history="1">
        <w:r w:rsidR="002F3B7E" w:rsidRPr="00A65B96">
          <w:rPr>
            <w:rStyle w:val="Hyperlink"/>
          </w:rPr>
          <w:t>Key performance areas</w:t>
        </w:r>
        <w:r w:rsidR="002F3B7E">
          <w:rPr>
            <w:webHidden/>
          </w:rPr>
          <w:tab/>
        </w:r>
        <w:r w:rsidR="002F3B7E">
          <w:rPr>
            <w:webHidden/>
          </w:rPr>
          <w:fldChar w:fldCharType="begin"/>
        </w:r>
        <w:r w:rsidR="002F3B7E">
          <w:rPr>
            <w:webHidden/>
          </w:rPr>
          <w:instrText xml:space="preserve"> PAGEREF _Toc522221643 \h </w:instrText>
        </w:r>
        <w:r w:rsidR="002F3B7E">
          <w:rPr>
            <w:webHidden/>
          </w:rPr>
        </w:r>
        <w:r w:rsidR="002F3B7E">
          <w:rPr>
            <w:webHidden/>
          </w:rPr>
          <w:fldChar w:fldCharType="separate"/>
        </w:r>
        <w:r w:rsidR="000D1BB1">
          <w:rPr>
            <w:webHidden/>
          </w:rPr>
          <w:t>11</w:t>
        </w:r>
        <w:r w:rsidR="002F3B7E">
          <w:rPr>
            <w:webHidden/>
          </w:rPr>
          <w:fldChar w:fldCharType="end"/>
        </w:r>
      </w:hyperlink>
    </w:p>
    <w:p w14:paraId="60638140" w14:textId="334FF17C" w:rsidR="002F3B7E" w:rsidRDefault="008B179F">
      <w:pPr>
        <w:pStyle w:val="TOC2"/>
        <w:rPr>
          <w:rFonts w:asciiTheme="minorHAnsi" w:hAnsiTheme="minorHAnsi"/>
          <w:sz w:val="22"/>
          <w:szCs w:val="22"/>
          <w:lang w:eastAsia="en-AU"/>
        </w:rPr>
      </w:pPr>
      <w:hyperlink w:anchor="_Toc522221644" w:history="1">
        <w:r w:rsidR="002F3B7E" w:rsidRPr="00A65B96">
          <w:rPr>
            <w:rStyle w:val="Hyperlink"/>
          </w:rPr>
          <w:t>Scheme structure</w:t>
        </w:r>
        <w:r w:rsidR="002F3B7E">
          <w:rPr>
            <w:webHidden/>
          </w:rPr>
          <w:tab/>
        </w:r>
        <w:r w:rsidR="002F3B7E">
          <w:rPr>
            <w:webHidden/>
          </w:rPr>
          <w:fldChar w:fldCharType="begin"/>
        </w:r>
        <w:r w:rsidR="002F3B7E">
          <w:rPr>
            <w:webHidden/>
          </w:rPr>
          <w:instrText xml:space="preserve"> PAGEREF _Toc522221644 \h </w:instrText>
        </w:r>
        <w:r w:rsidR="002F3B7E">
          <w:rPr>
            <w:webHidden/>
          </w:rPr>
        </w:r>
        <w:r w:rsidR="002F3B7E">
          <w:rPr>
            <w:webHidden/>
          </w:rPr>
          <w:fldChar w:fldCharType="separate"/>
        </w:r>
        <w:r w:rsidR="000D1BB1">
          <w:rPr>
            <w:webHidden/>
          </w:rPr>
          <w:t>12</w:t>
        </w:r>
        <w:r w:rsidR="002F3B7E">
          <w:rPr>
            <w:webHidden/>
          </w:rPr>
          <w:fldChar w:fldCharType="end"/>
        </w:r>
      </w:hyperlink>
    </w:p>
    <w:p w14:paraId="64625D4C" w14:textId="3D4BA8E3" w:rsidR="002F3B7E" w:rsidRDefault="008B179F">
      <w:pPr>
        <w:pStyle w:val="TOC1"/>
        <w:tabs>
          <w:tab w:val="left" w:pos="426"/>
          <w:tab w:val="right" w:leader="dot" w:pos="8290"/>
        </w:tabs>
        <w:rPr>
          <w:rFonts w:asciiTheme="minorHAnsi" w:hAnsiTheme="minorHAnsi"/>
          <w:noProof/>
          <w:sz w:val="22"/>
          <w:szCs w:val="22"/>
          <w:lang w:eastAsia="en-AU"/>
        </w:rPr>
      </w:pPr>
      <w:hyperlink w:anchor="_Toc522221645" w:history="1">
        <w:r w:rsidR="002F3B7E" w:rsidRPr="00A65B96">
          <w:rPr>
            <w:rStyle w:val="Hyperlink"/>
            <w:noProof/>
          </w:rPr>
          <w:t>3.</w:t>
        </w:r>
        <w:r w:rsidR="002F3B7E">
          <w:rPr>
            <w:rFonts w:asciiTheme="minorHAnsi" w:hAnsiTheme="minorHAnsi"/>
            <w:noProof/>
            <w:sz w:val="22"/>
            <w:szCs w:val="22"/>
            <w:lang w:eastAsia="en-AU"/>
          </w:rPr>
          <w:tab/>
        </w:r>
        <w:r w:rsidR="002F3B7E" w:rsidRPr="00A65B96">
          <w:rPr>
            <w:rStyle w:val="Hyperlink"/>
            <w:noProof/>
          </w:rPr>
          <w:t>ENVIRONMENT</w:t>
        </w:r>
        <w:r w:rsidR="002F3B7E">
          <w:rPr>
            <w:noProof/>
            <w:webHidden/>
          </w:rPr>
          <w:tab/>
        </w:r>
        <w:r w:rsidR="002F3B7E">
          <w:rPr>
            <w:noProof/>
            <w:webHidden/>
          </w:rPr>
          <w:fldChar w:fldCharType="begin"/>
        </w:r>
        <w:r w:rsidR="002F3B7E">
          <w:rPr>
            <w:noProof/>
            <w:webHidden/>
          </w:rPr>
          <w:instrText xml:space="preserve"> PAGEREF _Toc522221645 \h </w:instrText>
        </w:r>
        <w:r w:rsidR="002F3B7E">
          <w:rPr>
            <w:noProof/>
            <w:webHidden/>
          </w:rPr>
        </w:r>
        <w:r w:rsidR="002F3B7E">
          <w:rPr>
            <w:noProof/>
            <w:webHidden/>
          </w:rPr>
          <w:fldChar w:fldCharType="separate"/>
        </w:r>
        <w:r w:rsidR="000D1BB1">
          <w:rPr>
            <w:noProof/>
            <w:webHidden/>
          </w:rPr>
          <w:t>13</w:t>
        </w:r>
        <w:r w:rsidR="002F3B7E">
          <w:rPr>
            <w:noProof/>
            <w:webHidden/>
          </w:rPr>
          <w:fldChar w:fldCharType="end"/>
        </w:r>
      </w:hyperlink>
    </w:p>
    <w:p w14:paraId="2CA21FC7" w14:textId="441A6927" w:rsidR="002F3B7E" w:rsidRDefault="008B179F">
      <w:pPr>
        <w:pStyle w:val="TOC2"/>
        <w:rPr>
          <w:rFonts w:asciiTheme="minorHAnsi" w:hAnsiTheme="minorHAnsi"/>
          <w:sz w:val="22"/>
          <w:szCs w:val="22"/>
          <w:lang w:eastAsia="en-AU"/>
        </w:rPr>
      </w:pPr>
      <w:hyperlink w:anchor="_Toc522221646" w:history="1">
        <w:r w:rsidR="002F3B7E" w:rsidRPr="00A65B96">
          <w:rPr>
            <w:rStyle w:val="Hyperlink"/>
          </w:rPr>
          <w:t>Market gaps</w:t>
        </w:r>
        <w:r w:rsidR="002F3B7E">
          <w:rPr>
            <w:webHidden/>
          </w:rPr>
          <w:tab/>
        </w:r>
        <w:r w:rsidR="002F3B7E">
          <w:rPr>
            <w:webHidden/>
          </w:rPr>
          <w:fldChar w:fldCharType="begin"/>
        </w:r>
        <w:r w:rsidR="002F3B7E">
          <w:rPr>
            <w:webHidden/>
          </w:rPr>
          <w:instrText xml:space="preserve"> PAGEREF _Toc522221646 \h </w:instrText>
        </w:r>
        <w:r w:rsidR="002F3B7E">
          <w:rPr>
            <w:webHidden/>
          </w:rPr>
        </w:r>
        <w:r w:rsidR="002F3B7E">
          <w:rPr>
            <w:webHidden/>
          </w:rPr>
          <w:fldChar w:fldCharType="separate"/>
        </w:r>
        <w:r w:rsidR="000D1BB1">
          <w:rPr>
            <w:webHidden/>
          </w:rPr>
          <w:t>15</w:t>
        </w:r>
        <w:r w:rsidR="002F3B7E">
          <w:rPr>
            <w:webHidden/>
          </w:rPr>
          <w:fldChar w:fldCharType="end"/>
        </w:r>
      </w:hyperlink>
    </w:p>
    <w:p w14:paraId="62A9CFBC" w14:textId="083745E0" w:rsidR="002F3B7E" w:rsidRDefault="008B179F">
      <w:pPr>
        <w:pStyle w:val="TOC2"/>
        <w:rPr>
          <w:rFonts w:asciiTheme="minorHAnsi" w:hAnsiTheme="minorHAnsi"/>
          <w:sz w:val="22"/>
          <w:szCs w:val="22"/>
          <w:lang w:eastAsia="en-AU"/>
        </w:rPr>
      </w:pPr>
      <w:hyperlink w:anchor="_Toc522221647" w:history="1">
        <w:r w:rsidR="002F3B7E" w:rsidRPr="00A65B96">
          <w:rPr>
            <w:rStyle w:val="Hyperlink"/>
          </w:rPr>
          <w:t>Pricing terrorism insurance</w:t>
        </w:r>
        <w:r w:rsidR="002F3B7E">
          <w:rPr>
            <w:webHidden/>
          </w:rPr>
          <w:tab/>
        </w:r>
        <w:r w:rsidR="002F3B7E">
          <w:rPr>
            <w:webHidden/>
          </w:rPr>
          <w:fldChar w:fldCharType="begin"/>
        </w:r>
        <w:r w:rsidR="002F3B7E">
          <w:rPr>
            <w:webHidden/>
          </w:rPr>
          <w:instrText xml:space="preserve"> PAGEREF _Toc522221647 \h </w:instrText>
        </w:r>
        <w:r w:rsidR="002F3B7E">
          <w:rPr>
            <w:webHidden/>
          </w:rPr>
        </w:r>
        <w:r w:rsidR="002F3B7E">
          <w:rPr>
            <w:webHidden/>
          </w:rPr>
          <w:fldChar w:fldCharType="separate"/>
        </w:r>
        <w:r w:rsidR="000D1BB1">
          <w:rPr>
            <w:webHidden/>
          </w:rPr>
          <w:t>15</w:t>
        </w:r>
        <w:r w:rsidR="002F3B7E">
          <w:rPr>
            <w:webHidden/>
          </w:rPr>
          <w:fldChar w:fldCharType="end"/>
        </w:r>
      </w:hyperlink>
    </w:p>
    <w:p w14:paraId="27935336" w14:textId="14144D43" w:rsidR="002F3B7E" w:rsidRDefault="008B179F">
      <w:pPr>
        <w:pStyle w:val="TOC2"/>
        <w:rPr>
          <w:rFonts w:asciiTheme="minorHAnsi" w:hAnsiTheme="minorHAnsi"/>
          <w:sz w:val="22"/>
          <w:szCs w:val="22"/>
          <w:lang w:eastAsia="en-AU"/>
        </w:rPr>
      </w:pPr>
      <w:hyperlink w:anchor="_Toc522221648" w:history="1">
        <w:r w:rsidR="002F3B7E" w:rsidRPr="00A65B96">
          <w:rPr>
            <w:rStyle w:val="Hyperlink"/>
          </w:rPr>
          <w:t>Purchasing retrocession</w:t>
        </w:r>
        <w:r w:rsidR="002F3B7E">
          <w:rPr>
            <w:webHidden/>
          </w:rPr>
          <w:tab/>
        </w:r>
        <w:r w:rsidR="002F3B7E">
          <w:rPr>
            <w:webHidden/>
          </w:rPr>
          <w:fldChar w:fldCharType="begin"/>
        </w:r>
        <w:r w:rsidR="002F3B7E">
          <w:rPr>
            <w:webHidden/>
          </w:rPr>
          <w:instrText xml:space="preserve"> PAGEREF _Toc522221648 \h </w:instrText>
        </w:r>
        <w:r w:rsidR="002F3B7E">
          <w:rPr>
            <w:webHidden/>
          </w:rPr>
        </w:r>
        <w:r w:rsidR="002F3B7E">
          <w:rPr>
            <w:webHidden/>
          </w:rPr>
          <w:fldChar w:fldCharType="separate"/>
        </w:r>
        <w:r w:rsidR="000D1BB1">
          <w:rPr>
            <w:webHidden/>
          </w:rPr>
          <w:t>15</w:t>
        </w:r>
        <w:r w:rsidR="002F3B7E">
          <w:rPr>
            <w:webHidden/>
          </w:rPr>
          <w:fldChar w:fldCharType="end"/>
        </w:r>
      </w:hyperlink>
    </w:p>
    <w:p w14:paraId="59EC1861" w14:textId="04F5F0BC" w:rsidR="002F3B7E" w:rsidRDefault="008B179F">
      <w:pPr>
        <w:pStyle w:val="TOC1"/>
        <w:tabs>
          <w:tab w:val="left" w:pos="426"/>
          <w:tab w:val="right" w:leader="dot" w:pos="8290"/>
        </w:tabs>
        <w:rPr>
          <w:rFonts w:asciiTheme="minorHAnsi" w:hAnsiTheme="minorHAnsi"/>
          <w:noProof/>
          <w:sz w:val="22"/>
          <w:szCs w:val="22"/>
          <w:lang w:eastAsia="en-AU"/>
        </w:rPr>
      </w:pPr>
      <w:hyperlink w:anchor="_Toc522221649" w:history="1">
        <w:r w:rsidR="002F3B7E" w:rsidRPr="00A65B96">
          <w:rPr>
            <w:rStyle w:val="Hyperlink"/>
            <w:rFonts w:eastAsiaTheme="majorEastAsia" w:cstheme="majorBidi"/>
            <w:noProof/>
          </w:rPr>
          <w:t>4.</w:t>
        </w:r>
        <w:r w:rsidR="002F3B7E">
          <w:rPr>
            <w:rFonts w:asciiTheme="minorHAnsi" w:hAnsiTheme="minorHAnsi"/>
            <w:noProof/>
            <w:sz w:val="22"/>
            <w:szCs w:val="22"/>
            <w:lang w:eastAsia="en-AU"/>
          </w:rPr>
          <w:tab/>
        </w:r>
        <w:r w:rsidR="002F3B7E" w:rsidRPr="00A65B96">
          <w:rPr>
            <w:rStyle w:val="Hyperlink"/>
            <w:noProof/>
          </w:rPr>
          <w:t>CAPABILITY</w:t>
        </w:r>
        <w:r w:rsidR="002F3B7E">
          <w:rPr>
            <w:noProof/>
            <w:webHidden/>
          </w:rPr>
          <w:tab/>
        </w:r>
        <w:r w:rsidR="002F3B7E">
          <w:rPr>
            <w:noProof/>
            <w:webHidden/>
          </w:rPr>
          <w:fldChar w:fldCharType="begin"/>
        </w:r>
        <w:r w:rsidR="002F3B7E">
          <w:rPr>
            <w:noProof/>
            <w:webHidden/>
          </w:rPr>
          <w:instrText xml:space="preserve"> PAGEREF _Toc522221649 \h </w:instrText>
        </w:r>
        <w:r w:rsidR="002F3B7E">
          <w:rPr>
            <w:noProof/>
            <w:webHidden/>
          </w:rPr>
        </w:r>
        <w:r w:rsidR="002F3B7E">
          <w:rPr>
            <w:noProof/>
            <w:webHidden/>
          </w:rPr>
          <w:fldChar w:fldCharType="separate"/>
        </w:r>
        <w:r w:rsidR="000D1BB1">
          <w:rPr>
            <w:noProof/>
            <w:webHidden/>
          </w:rPr>
          <w:t>16</w:t>
        </w:r>
        <w:r w:rsidR="002F3B7E">
          <w:rPr>
            <w:noProof/>
            <w:webHidden/>
          </w:rPr>
          <w:fldChar w:fldCharType="end"/>
        </w:r>
      </w:hyperlink>
    </w:p>
    <w:p w14:paraId="5170324E" w14:textId="0EDA6DF6" w:rsidR="002F3B7E" w:rsidRDefault="008B179F">
      <w:pPr>
        <w:pStyle w:val="TOC2"/>
        <w:rPr>
          <w:rFonts w:asciiTheme="minorHAnsi" w:hAnsiTheme="minorHAnsi"/>
          <w:sz w:val="22"/>
          <w:szCs w:val="22"/>
          <w:lang w:eastAsia="en-AU"/>
        </w:rPr>
      </w:pPr>
      <w:hyperlink w:anchor="_Toc522221650" w:history="1">
        <w:r w:rsidR="002F3B7E" w:rsidRPr="00A65B96">
          <w:rPr>
            <w:rStyle w:val="Hyperlink"/>
          </w:rPr>
          <w:t>Delivering ARPC’s strategic priorities</w:t>
        </w:r>
        <w:r w:rsidR="002F3B7E">
          <w:rPr>
            <w:webHidden/>
          </w:rPr>
          <w:tab/>
        </w:r>
        <w:r w:rsidR="002F3B7E">
          <w:rPr>
            <w:webHidden/>
          </w:rPr>
          <w:fldChar w:fldCharType="begin"/>
        </w:r>
        <w:r w:rsidR="002F3B7E">
          <w:rPr>
            <w:webHidden/>
          </w:rPr>
          <w:instrText xml:space="preserve"> PAGEREF _Toc522221650 \h </w:instrText>
        </w:r>
        <w:r w:rsidR="002F3B7E">
          <w:rPr>
            <w:webHidden/>
          </w:rPr>
        </w:r>
        <w:r w:rsidR="002F3B7E">
          <w:rPr>
            <w:webHidden/>
          </w:rPr>
          <w:fldChar w:fldCharType="separate"/>
        </w:r>
        <w:r w:rsidR="000D1BB1">
          <w:rPr>
            <w:webHidden/>
          </w:rPr>
          <w:t>19</w:t>
        </w:r>
        <w:r w:rsidR="002F3B7E">
          <w:rPr>
            <w:webHidden/>
          </w:rPr>
          <w:fldChar w:fldCharType="end"/>
        </w:r>
      </w:hyperlink>
    </w:p>
    <w:p w14:paraId="5846B7D8" w14:textId="18AC1C71" w:rsidR="002F3B7E" w:rsidRDefault="008B179F">
      <w:pPr>
        <w:pStyle w:val="TOC2"/>
        <w:rPr>
          <w:rFonts w:asciiTheme="minorHAnsi" w:hAnsiTheme="minorHAnsi"/>
          <w:sz w:val="22"/>
          <w:szCs w:val="22"/>
          <w:lang w:eastAsia="en-AU"/>
        </w:rPr>
      </w:pPr>
      <w:hyperlink w:anchor="_Toc522221651" w:history="1">
        <w:r w:rsidR="002F3B7E" w:rsidRPr="00A65B96">
          <w:rPr>
            <w:rStyle w:val="Hyperlink"/>
          </w:rPr>
          <w:t>Staff Capability</w:t>
        </w:r>
        <w:r w:rsidR="002F3B7E">
          <w:rPr>
            <w:webHidden/>
          </w:rPr>
          <w:tab/>
        </w:r>
        <w:r w:rsidR="002F3B7E">
          <w:rPr>
            <w:webHidden/>
          </w:rPr>
          <w:fldChar w:fldCharType="begin"/>
        </w:r>
        <w:r w:rsidR="002F3B7E">
          <w:rPr>
            <w:webHidden/>
          </w:rPr>
          <w:instrText xml:space="preserve"> PAGEREF _Toc522221651 \h </w:instrText>
        </w:r>
        <w:r w:rsidR="002F3B7E">
          <w:rPr>
            <w:webHidden/>
          </w:rPr>
        </w:r>
        <w:r w:rsidR="002F3B7E">
          <w:rPr>
            <w:webHidden/>
          </w:rPr>
          <w:fldChar w:fldCharType="separate"/>
        </w:r>
        <w:r w:rsidR="000D1BB1">
          <w:rPr>
            <w:webHidden/>
          </w:rPr>
          <w:t>21</w:t>
        </w:r>
        <w:r w:rsidR="002F3B7E">
          <w:rPr>
            <w:webHidden/>
          </w:rPr>
          <w:fldChar w:fldCharType="end"/>
        </w:r>
      </w:hyperlink>
    </w:p>
    <w:p w14:paraId="2C07CDAF" w14:textId="3176836B" w:rsidR="002F3B7E" w:rsidRDefault="008B179F">
      <w:pPr>
        <w:pStyle w:val="TOC2"/>
        <w:rPr>
          <w:rFonts w:asciiTheme="minorHAnsi" w:hAnsiTheme="minorHAnsi"/>
          <w:sz w:val="22"/>
          <w:szCs w:val="22"/>
          <w:lang w:eastAsia="en-AU"/>
        </w:rPr>
      </w:pPr>
      <w:hyperlink w:anchor="_Toc522221652" w:history="1">
        <w:r w:rsidR="002F3B7E" w:rsidRPr="00A65B96">
          <w:rPr>
            <w:rStyle w:val="Hyperlink"/>
          </w:rPr>
          <w:t>ARPC’s structure</w:t>
        </w:r>
        <w:r w:rsidR="002F3B7E">
          <w:rPr>
            <w:webHidden/>
          </w:rPr>
          <w:tab/>
        </w:r>
        <w:r w:rsidR="002F3B7E">
          <w:rPr>
            <w:webHidden/>
          </w:rPr>
          <w:fldChar w:fldCharType="begin"/>
        </w:r>
        <w:r w:rsidR="002F3B7E">
          <w:rPr>
            <w:webHidden/>
          </w:rPr>
          <w:instrText xml:space="preserve"> PAGEREF _Toc522221652 \h </w:instrText>
        </w:r>
        <w:r w:rsidR="002F3B7E">
          <w:rPr>
            <w:webHidden/>
          </w:rPr>
        </w:r>
        <w:r w:rsidR="002F3B7E">
          <w:rPr>
            <w:webHidden/>
          </w:rPr>
          <w:fldChar w:fldCharType="separate"/>
        </w:r>
        <w:r w:rsidR="000D1BB1">
          <w:rPr>
            <w:webHidden/>
          </w:rPr>
          <w:t>21</w:t>
        </w:r>
        <w:r w:rsidR="002F3B7E">
          <w:rPr>
            <w:webHidden/>
          </w:rPr>
          <w:fldChar w:fldCharType="end"/>
        </w:r>
      </w:hyperlink>
    </w:p>
    <w:p w14:paraId="426A81D9" w14:textId="4FEA8D4E" w:rsidR="002F3B7E" w:rsidRDefault="008B179F">
      <w:pPr>
        <w:pStyle w:val="TOC2"/>
        <w:rPr>
          <w:rFonts w:asciiTheme="minorHAnsi" w:hAnsiTheme="minorHAnsi"/>
          <w:sz w:val="22"/>
          <w:szCs w:val="22"/>
          <w:lang w:eastAsia="en-AU"/>
        </w:rPr>
      </w:pPr>
      <w:hyperlink w:anchor="_Toc522221653" w:history="1">
        <w:r w:rsidR="002F3B7E" w:rsidRPr="00A65B96">
          <w:rPr>
            <w:rStyle w:val="Hyperlink"/>
          </w:rPr>
          <w:t>ARPC’s values</w:t>
        </w:r>
        <w:r w:rsidR="002F3B7E">
          <w:rPr>
            <w:webHidden/>
          </w:rPr>
          <w:tab/>
        </w:r>
        <w:r w:rsidR="002F3B7E">
          <w:rPr>
            <w:webHidden/>
          </w:rPr>
          <w:fldChar w:fldCharType="begin"/>
        </w:r>
        <w:r w:rsidR="002F3B7E">
          <w:rPr>
            <w:webHidden/>
          </w:rPr>
          <w:instrText xml:space="preserve"> PAGEREF _Toc522221653 \h </w:instrText>
        </w:r>
        <w:r w:rsidR="002F3B7E">
          <w:rPr>
            <w:webHidden/>
          </w:rPr>
        </w:r>
        <w:r w:rsidR="002F3B7E">
          <w:rPr>
            <w:webHidden/>
          </w:rPr>
          <w:fldChar w:fldCharType="separate"/>
        </w:r>
        <w:r w:rsidR="000D1BB1">
          <w:rPr>
            <w:webHidden/>
          </w:rPr>
          <w:t>23</w:t>
        </w:r>
        <w:r w:rsidR="002F3B7E">
          <w:rPr>
            <w:webHidden/>
          </w:rPr>
          <w:fldChar w:fldCharType="end"/>
        </w:r>
      </w:hyperlink>
    </w:p>
    <w:p w14:paraId="0B04426B" w14:textId="36228B58" w:rsidR="002F3B7E" w:rsidRDefault="008B179F">
      <w:pPr>
        <w:pStyle w:val="TOC1"/>
        <w:tabs>
          <w:tab w:val="left" w:pos="426"/>
          <w:tab w:val="right" w:leader="dot" w:pos="8290"/>
        </w:tabs>
        <w:rPr>
          <w:rFonts w:asciiTheme="minorHAnsi" w:hAnsiTheme="minorHAnsi"/>
          <w:noProof/>
          <w:sz w:val="22"/>
          <w:szCs w:val="22"/>
          <w:lang w:eastAsia="en-AU"/>
        </w:rPr>
      </w:pPr>
      <w:hyperlink w:anchor="_Toc522221654" w:history="1">
        <w:r w:rsidR="002F3B7E" w:rsidRPr="00A65B96">
          <w:rPr>
            <w:rStyle w:val="Hyperlink"/>
            <w:noProof/>
          </w:rPr>
          <w:t>5.</w:t>
        </w:r>
        <w:r w:rsidR="002F3B7E">
          <w:rPr>
            <w:rFonts w:asciiTheme="minorHAnsi" w:hAnsiTheme="minorHAnsi"/>
            <w:noProof/>
            <w:sz w:val="22"/>
            <w:szCs w:val="22"/>
            <w:lang w:eastAsia="en-AU"/>
          </w:rPr>
          <w:tab/>
        </w:r>
        <w:r w:rsidR="002F3B7E" w:rsidRPr="00A65B96">
          <w:rPr>
            <w:rStyle w:val="Hyperlink"/>
            <w:noProof/>
          </w:rPr>
          <w:t>RISK OVERSIGHT AND MANAGEMENT</w:t>
        </w:r>
        <w:r w:rsidR="002F3B7E">
          <w:rPr>
            <w:noProof/>
            <w:webHidden/>
          </w:rPr>
          <w:tab/>
        </w:r>
        <w:r w:rsidR="002F3B7E">
          <w:rPr>
            <w:noProof/>
            <w:webHidden/>
          </w:rPr>
          <w:fldChar w:fldCharType="begin"/>
        </w:r>
        <w:r w:rsidR="002F3B7E">
          <w:rPr>
            <w:noProof/>
            <w:webHidden/>
          </w:rPr>
          <w:instrText xml:space="preserve"> PAGEREF _Toc522221654 \h </w:instrText>
        </w:r>
        <w:r w:rsidR="002F3B7E">
          <w:rPr>
            <w:noProof/>
            <w:webHidden/>
          </w:rPr>
        </w:r>
        <w:r w:rsidR="002F3B7E">
          <w:rPr>
            <w:noProof/>
            <w:webHidden/>
          </w:rPr>
          <w:fldChar w:fldCharType="separate"/>
        </w:r>
        <w:r w:rsidR="000D1BB1">
          <w:rPr>
            <w:noProof/>
            <w:webHidden/>
          </w:rPr>
          <w:t>24</w:t>
        </w:r>
        <w:r w:rsidR="002F3B7E">
          <w:rPr>
            <w:noProof/>
            <w:webHidden/>
          </w:rPr>
          <w:fldChar w:fldCharType="end"/>
        </w:r>
      </w:hyperlink>
    </w:p>
    <w:p w14:paraId="3D74BB84" w14:textId="07B53EE0" w:rsidR="002F3B7E" w:rsidRDefault="008B179F">
      <w:pPr>
        <w:pStyle w:val="TOC2"/>
        <w:rPr>
          <w:rFonts w:asciiTheme="minorHAnsi" w:hAnsiTheme="minorHAnsi"/>
          <w:sz w:val="22"/>
          <w:szCs w:val="22"/>
          <w:lang w:eastAsia="en-AU"/>
        </w:rPr>
      </w:pPr>
      <w:hyperlink w:anchor="_Toc522221655" w:history="1">
        <w:r w:rsidR="002F3B7E" w:rsidRPr="00A65B96">
          <w:rPr>
            <w:rStyle w:val="Hyperlink"/>
          </w:rPr>
          <w:t>Enterprise risk management framework</w:t>
        </w:r>
        <w:r w:rsidR="002F3B7E">
          <w:rPr>
            <w:webHidden/>
          </w:rPr>
          <w:tab/>
        </w:r>
        <w:r w:rsidR="002F3B7E">
          <w:rPr>
            <w:webHidden/>
          </w:rPr>
          <w:fldChar w:fldCharType="begin"/>
        </w:r>
        <w:r w:rsidR="002F3B7E">
          <w:rPr>
            <w:webHidden/>
          </w:rPr>
          <w:instrText xml:space="preserve"> PAGEREF _Toc522221655 \h </w:instrText>
        </w:r>
        <w:r w:rsidR="002F3B7E">
          <w:rPr>
            <w:webHidden/>
          </w:rPr>
        </w:r>
        <w:r w:rsidR="002F3B7E">
          <w:rPr>
            <w:webHidden/>
          </w:rPr>
          <w:fldChar w:fldCharType="separate"/>
        </w:r>
        <w:r w:rsidR="000D1BB1">
          <w:rPr>
            <w:webHidden/>
          </w:rPr>
          <w:t>25</w:t>
        </w:r>
        <w:r w:rsidR="002F3B7E">
          <w:rPr>
            <w:webHidden/>
          </w:rPr>
          <w:fldChar w:fldCharType="end"/>
        </w:r>
      </w:hyperlink>
    </w:p>
    <w:p w14:paraId="424A9D15" w14:textId="77169FA4" w:rsidR="002F3B7E" w:rsidRDefault="008B179F">
      <w:pPr>
        <w:pStyle w:val="TOC2"/>
        <w:rPr>
          <w:rFonts w:asciiTheme="minorHAnsi" w:hAnsiTheme="minorHAnsi"/>
          <w:sz w:val="22"/>
          <w:szCs w:val="22"/>
          <w:lang w:eastAsia="en-AU"/>
        </w:rPr>
      </w:pPr>
      <w:hyperlink w:anchor="_Toc522221656" w:history="1">
        <w:r w:rsidR="002F3B7E" w:rsidRPr="00A65B96">
          <w:rPr>
            <w:rStyle w:val="Hyperlink"/>
          </w:rPr>
          <w:t>Risk appetite and tolerance statements</w:t>
        </w:r>
        <w:r w:rsidR="002F3B7E">
          <w:rPr>
            <w:webHidden/>
          </w:rPr>
          <w:tab/>
        </w:r>
        <w:r w:rsidR="002F3B7E">
          <w:rPr>
            <w:webHidden/>
          </w:rPr>
          <w:fldChar w:fldCharType="begin"/>
        </w:r>
        <w:r w:rsidR="002F3B7E">
          <w:rPr>
            <w:webHidden/>
          </w:rPr>
          <w:instrText xml:space="preserve"> PAGEREF _Toc522221656 \h </w:instrText>
        </w:r>
        <w:r w:rsidR="002F3B7E">
          <w:rPr>
            <w:webHidden/>
          </w:rPr>
        </w:r>
        <w:r w:rsidR="002F3B7E">
          <w:rPr>
            <w:webHidden/>
          </w:rPr>
          <w:fldChar w:fldCharType="separate"/>
        </w:r>
        <w:r w:rsidR="000D1BB1">
          <w:rPr>
            <w:webHidden/>
          </w:rPr>
          <w:t>26</w:t>
        </w:r>
        <w:r w:rsidR="002F3B7E">
          <w:rPr>
            <w:webHidden/>
          </w:rPr>
          <w:fldChar w:fldCharType="end"/>
        </w:r>
      </w:hyperlink>
    </w:p>
    <w:p w14:paraId="4378F835" w14:textId="5EACA0B7" w:rsidR="002F3B7E" w:rsidRDefault="008B179F">
      <w:pPr>
        <w:pStyle w:val="TOC2"/>
        <w:rPr>
          <w:rFonts w:asciiTheme="minorHAnsi" w:hAnsiTheme="minorHAnsi"/>
          <w:sz w:val="22"/>
          <w:szCs w:val="22"/>
          <w:lang w:eastAsia="en-AU"/>
        </w:rPr>
      </w:pPr>
      <w:hyperlink w:anchor="_Toc522221657" w:history="1">
        <w:r w:rsidR="002F3B7E" w:rsidRPr="00A65B96">
          <w:rPr>
            <w:rStyle w:val="Hyperlink"/>
          </w:rPr>
          <w:t>Legislative compliance</w:t>
        </w:r>
        <w:r w:rsidR="002F3B7E">
          <w:rPr>
            <w:webHidden/>
          </w:rPr>
          <w:tab/>
        </w:r>
        <w:r w:rsidR="002F3B7E">
          <w:rPr>
            <w:webHidden/>
          </w:rPr>
          <w:fldChar w:fldCharType="begin"/>
        </w:r>
        <w:r w:rsidR="002F3B7E">
          <w:rPr>
            <w:webHidden/>
          </w:rPr>
          <w:instrText xml:space="preserve"> PAGEREF _Toc522221657 \h </w:instrText>
        </w:r>
        <w:r w:rsidR="002F3B7E">
          <w:rPr>
            <w:webHidden/>
          </w:rPr>
        </w:r>
        <w:r w:rsidR="002F3B7E">
          <w:rPr>
            <w:webHidden/>
          </w:rPr>
          <w:fldChar w:fldCharType="separate"/>
        </w:r>
        <w:r w:rsidR="000D1BB1">
          <w:rPr>
            <w:webHidden/>
          </w:rPr>
          <w:t>26</w:t>
        </w:r>
        <w:r w:rsidR="002F3B7E">
          <w:rPr>
            <w:webHidden/>
          </w:rPr>
          <w:fldChar w:fldCharType="end"/>
        </w:r>
      </w:hyperlink>
    </w:p>
    <w:p w14:paraId="12D6F155" w14:textId="1CE1B148" w:rsidR="002F3B7E" w:rsidRDefault="008B179F">
      <w:pPr>
        <w:pStyle w:val="TOC1"/>
        <w:tabs>
          <w:tab w:val="left" w:pos="426"/>
          <w:tab w:val="right" w:leader="dot" w:pos="8290"/>
        </w:tabs>
        <w:rPr>
          <w:rFonts w:asciiTheme="minorHAnsi" w:hAnsiTheme="minorHAnsi"/>
          <w:noProof/>
          <w:sz w:val="22"/>
          <w:szCs w:val="22"/>
          <w:lang w:eastAsia="en-AU"/>
        </w:rPr>
      </w:pPr>
      <w:hyperlink w:anchor="_Toc522221658" w:history="1">
        <w:r w:rsidR="002F3B7E" w:rsidRPr="00A65B96">
          <w:rPr>
            <w:rStyle w:val="Hyperlink"/>
            <w:noProof/>
          </w:rPr>
          <w:t>6.</w:t>
        </w:r>
        <w:r w:rsidR="002F3B7E">
          <w:rPr>
            <w:rFonts w:asciiTheme="minorHAnsi" w:hAnsiTheme="minorHAnsi"/>
            <w:noProof/>
            <w:sz w:val="22"/>
            <w:szCs w:val="22"/>
            <w:lang w:eastAsia="en-AU"/>
          </w:rPr>
          <w:tab/>
        </w:r>
        <w:r w:rsidR="002F3B7E" w:rsidRPr="00A65B96">
          <w:rPr>
            <w:rStyle w:val="Hyperlink"/>
            <w:noProof/>
          </w:rPr>
          <w:t>PERFORMANCE</w:t>
        </w:r>
        <w:r w:rsidR="002F3B7E">
          <w:rPr>
            <w:noProof/>
            <w:webHidden/>
          </w:rPr>
          <w:tab/>
        </w:r>
        <w:r w:rsidR="002F3B7E">
          <w:rPr>
            <w:noProof/>
            <w:webHidden/>
          </w:rPr>
          <w:fldChar w:fldCharType="begin"/>
        </w:r>
        <w:r w:rsidR="002F3B7E">
          <w:rPr>
            <w:noProof/>
            <w:webHidden/>
          </w:rPr>
          <w:instrText xml:space="preserve"> PAGEREF _Toc522221658 \h </w:instrText>
        </w:r>
        <w:r w:rsidR="002F3B7E">
          <w:rPr>
            <w:noProof/>
            <w:webHidden/>
          </w:rPr>
        </w:r>
        <w:r w:rsidR="002F3B7E">
          <w:rPr>
            <w:noProof/>
            <w:webHidden/>
          </w:rPr>
          <w:fldChar w:fldCharType="separate"/>
        </w:r>
        <w:r w:rsidR="000D1BB1">
          <w:rPr>
            <w:noProof/>
            <w:webHidden/>
          </w:rPr>
          <w:t>27</w:t>
        </w:r>
        <w:r w:rsidR="002F3B7E">
          <w:rPr>
            <w:noProof/>
            <w:webHidden/>
          </w:rPr>
          <w:fldChar w:fldCharType="end"/>
        </w:r>
      </w:hyperlink>
    </w:p>
    <w:p w14:paraId="5AF508D1" w14:textId="4A89E11E" w:rsidR="002F3B7E" w:rsidRDefault="008B179F">
      <w:pPr>
        <w:pStyle w:val="TOC2"/>
        <w:rPr>
          <w:rFonts w:asciiTheme="minorHAnsi" w:hAnsiTheme="minorHAnsi"/>
          <w:sz w:val="22"/>
          <w:szCs w:val="22"/>
          <w:lang w:eastAsia="en-AU"/>
        </w:rPr>
      </w:pPr>
      <w:hyperlink w:anchor="_Toc522221659" w:history="1">
        <w:r w:rsidR="002F3B7E" w:rsidRPr="00A65B96">
          <w:rPr>
            <w:rStyle w:val="Hyperlink"/>
          </w:rPr>
          <w:t>Key Performance Indicator (KPI) detail</w:t>
        </w:r>
        <w:r w:rsidR="002F3B7E">
          <w:rPr>
            <w:webHidden/>
          </w:rPr>
          <w:tab/>
        </w:r>
        <w:r w:rsidR="002F3B7E">
          <w:rPr>
            <w:webHidden/>
          </w:rPr>
          <w:fldChar w:fldCharType="begin"/>
        </w:r>
        <w:r w:rsidR="002F3B7E">
          <w:rPr>
            <w:webHidden/>
          </w:rPr>
          <w:instrText xml:space="preserve"> PAGEREF _Toc522221659 \h </w:instrText>
        </w:r>
        <w:r w:rsidR="002F3B7E">
          <w:rPr>
            <w:webHidden/>
          </w:rPr>
        </w:r>
        <w:r w:rsidR="002F3B7E">
          <w:rPr>
            <w:webHidden/>
          </w:rPr>
          <w:fldChar w:fldCharType="separate"/>
        </w:r>
        <w:r w:rsidR="000D1BB1">
          <w:rPr>
            <w:webHidden/>
          </w:rPr>
          <w:t>29</w:t>
        </w:r>
        <w:r w:rsidR="002F3B7E">
          <w:rPr>
            <w:webHidden/>
          </w:rPr>
          <w:fldChar w:fldCharType="end"/>
        </w:r>
      </w:hyperlink>
    </w:p>
    <w:p w14:paraId="056029F3" w14:textId="77777777" w:rsidR="00824193" w:rsidRDefault="0079426F" w:rsidP="00C3571B">
      <w:pPr>
        <w:pStyle w:val="Bodytext"/>
      </w:pPr>
      <w:r>
        <w:fldChar w:fldCharType="end"/>
      </w:r>
    </w:p>
    <w:p w14:paraId="5535F198" w14:textId="77777777" w:rsidR="00824193" w:rsidRDefault="00824193" w:rsidP="005F7837">
      <w:pPr>
        <w:pStyle w:val="Bodytext"/>
      </w:pPr>
      <w:r>
        <w:br w:type="page"/>
      </w:r>
    </w:p>
    <w:p w14:paraId="11823567" w14:textId="77777777" w:rsidR="00824193" w:rsidRDefault="00824193" w:rsidP="005F7837">
      <w:pPr>
        <w:pStyle w:val="Bodytext"/>
        <w:rPr>
          <w:rFonts w:eastAsia="Calibri"/>
          <w:sz w:val="22"/>
          <w:szCs w:val="22"/>
        </w:rPr>
      </w:pPr>
      <w:r>
        <w:rPr>
          <w:noProof/>
          <w:lang w:eastAsia="en-AU"/>
        </w:rPr>
        <w:lastRenderedPageBreak/>
        <w:drawing>
          <wp:inline distT="0" distB="0" distL="0" distR="0" wp14:anchorId="3BF81E08" wp14:editId="38A4EC9A">
            <wp:extent cx="3121660" cy="530225"/>
            <wp:effectExtent l="0" t="0" r="2540" b="3175"/>
            <wp:docPr id="162929866" name="picture" descr="ARPC Logo" title="ARP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3121660" cy="530225"/>
                    </a:xfrm>
                    <a:prstGeom prst="rect">
                      <a:avLst/>
                    </a:prstGeom>
                  </pic:spPr>
                </pic:pic>
              </a:graphicData>
            </a:graphic>
          </wp:inline>
        </w:drawing>
      </w:r>
    </w:p>
    <w:p w14:paraId="611F466E" w14:textId="77777777" w:rsidR="00B1752F" w:rsidRDefault="00824193" w:rsidP="00B1752F">
      <w:pPr>
        <w:pStyle w:val="Bodytext"/>
        <w:spacing w:before="0" w:after="0"/>
      </w:pPr>
      <w:r>
        <w:br/>
      </w:r>
    </w:p>
    <w:p w14:paraId="402A4E75" w14:textId="4E522BC4" w:rsidR="00B1752F" w:rsidRDefault="005D1CED" w:rsidP="00B1752F">
      <w:pPr>
        <w:pStyle w:val="Bodytext"/>
        <w:spacing w:before="0" w:after="0"/>
      </w:pPr>
      <w:r>
        <w:t xml:space="preserve">The Hon </w:t>
      </w:r>
      <w:r w:rsidR="00A3487C">
        <w:t>Josh Fryden</w:t>
      </w:r>
      <w:r w:rsidR="0006382B">
        <w:t xml:space="preserve">berg MP  </w:t>
      </w:r>
    </w:p>
    <w:p w14:paraId="47916ED5" w14:textId="481553B4" w:rsidR="00B1752F" w:rsidRDefault="00B1752F" w:rsidP="00B1752F">
      <w:pPr>
        <w:pStyle w:val="Bodytext"/>
        <w:spacing w:before="0" w:after="0"/>
      </w:pPr>
      <w:r>
        <w:t xml:space="preserve">Treasurer of Australia </w:t>
      </w:r>
      <w:r w:rsidR="0006382B">
        <w:t xml:space="preserve">     </w:t>
      </w:r>
    </w:p>
    <w:p w14:paraId="4B477A72" w14:textId="600FF7B4" w:rsidR="00824193" w:rsidRPr="00E80042" w:rsidRDefault="00824193" w:rsidP="00B1752F">
      <w:pPr>
        <w:pStyle w:val="Bodytext"/>
        <w:spacing w:before="0" w:after="0"/>
      </w:pPr>
      <w:r w:rsidRPr="74BAFD8E">
        <w:t>Parliament House</w:t>
      </w:r>
      <w:r>
        <w:br/>
      </w:r>
      <w:r w:rsidRPr="74BAFD8E">
        <w:t>CANBERRA ACT 2600</w:t>
      </w:r>
    </w:p>
    <w:p w14:paraId="103152F0" w14:textId="67F16201" w:rsidR="00824193" w:rsidRPr="00E80042" w:rsidRDefault="00824193" w:rsidP="00C3571B">
      <w:pPr>
        <w:pStyle w:val="Bodytext"/>
        <w:spacing w:before="600"/>
      </w:pPr>
      <w:r w:rsidRPr="3EE44551">
        <w:t xml:space="preserve">Dear </w:t>
      </w:r>
      <w:r w:rsidR="00B1752F">
        <w:t>Treasurer</w:t>
      </w:r>
    </w:p>
    <w:p w14:paraId="4F478DC3" w14:textId="64E22C7B" w:rsidR="00824193" w:rsidRPr="00E80042" w:rsidRDefault="00824193" w:rsidP="004177D7">
      <w:r w:rsidRPr="3EE44551">
        <w:t>On behalf</w:t>
      </w:r>
      <w:r w:rsidR="0022042D">
        <w:fldChar w:fldCharType="begin"/>
      </w:r>
      <w:r w:rsidR="0022042D">
        <w:instrText xml:space="preserve">  </w:instrText>
      </w:r>
      <w:r w:rsidR="0022042D">
        <w:fldChar w:fldCharType="end"/>
      </w:r>
      <w:r w:rsidRPr="3EE44551">
        <w:t xml:space="preserve"> </w:t>
      </w:r>
      <w:r w:rsidR="00B1752F">
        <w:t xml:space="preserve">the </w:t>
      </w:r>
      <w:r w:rsidR="007976AD" w:rsidRPr="3EE44551">
        <w:t xml:space="preserve">Australian Reinsurance Pool Corporation (ARPC) </w:t>
      </w:r>
      <w:r w:rsidRPr="3EE44551">
        <w:t xml:space="preserve">Board, I am pleased to present you with the </w:t>
      </w:r>
      <w:r w:rsidR="007976AD" w:rsidRPr="3EE44551">
        <w:t xml:space="preserve">ARPC </w:t>
      </w:r>
      <w:r w:rsidRPr="3EE44551">
        <w:t xml:space="preserve">Corporate </w:t>
      </w:r>
      <w:r w:rsidRPr="00EF05D3">
        <w:t>Plan for 2018 and beyond. This plan commences on 1 July 2018 and spans the four reporting periods to 30 June 2022.</w:t>
      </w:r>
      <w:r w:rsidRPr="3EE44551">
        <w:t xml:space="preserve"> </w:t>
      </w:r>
    </w:p>
    <w:p w14:paraId="0716641C" w14:textId="53D152FC" w:rsidR="00824193" w:rsidRPr="00E80042" w:rsidRDefault="00D63D02" w:rsidP="005F7837">
      <w:pPr>
        <w:pStyle w:val="Bodytext"/>
      </w:pPr>
      <w:r w:rsidRPr="3EE44551">
        <w:t xml:space="preserve">This plan has been prepared in accordance with the </w:t>
      </w:r>
      <w:r w:rsidRPr="00DA7D62">
        <w:rPr>
          <w:i/>
        </w:rPr>
        <w:t>Public Governance, Performance and Accountability Rule 2014</w:t>
      </w:r>
      <w:r w:rsidRPr="3EE44551">
        <w:t>.</w:t>
      </w:r>
      <w:r w:rsidR="00B1752F">
        <w:t xml:space="preserve"> </w:t>
      </w:r>
      <w:r w:rsidR="00824193" w:rsidRPr="3EE44551">
        <w:t xml:space="preserve">The plan has been approved by the Accountable Authority (the ARPC Board) as required under paragraphs 35(1) and 35(2) of the </w:t>
      </w:r>
      <w:r w:rsidR="00824193" w:rsidRPr="3EE44551">
        <w:rPr>
          <w:i/>
          <w:iCs/>
        </w:rPr>
        <w:t>Public Governance, Performance and Accountability Act 2013</w:t>
      </w:r>
      <w:r w:rsidR="00824193" w:rsidRPr="3EE44551">
        <w:t xml:space="preserve">. </w:t>
      </w:r>
    </w:p>
    <w:p w14:paraId="010B39BA" w14:textId="77777777" w:rsidR="00824193" w:rsidRDefault="00D63D02" w:rsidP="005F7837">
      <w:pPr>
        <w:pStyle w:val="Bodytext"/>
      </w:pPr>
      <w:r>
        <w:t>I</w:t>
      </w:r>
      <w:r w:rsidRPr="00D63D02">
        <w:t xml:space="preserve">n responding to </w:t>
      </w:r>
      <w:r w:rsidR="000D6C83">
        <w:t>ARPC’s</w:t>
      </w:r>
      <w:r w:rsidRPr="00D63D02">
        <w:t xml:space="preserve"> </w:t>
      </w:r>
      <w:r w:rsidR="000D6C83">
        <w:t>functions</w:t>
      </w:r>
      <w:r w:rsidRPr="00D63D02">
        <w:t xml:space="preserve"> under the </w:t>
      </w:r>
      <w:r w:rsidRPr="00DA7D62">
        <w:rPr>
          <w:i/>
        </w:rPr>
        <w:t>Terrorism Insurance Act 2003</w:t>
      </w:r>
      <w:r>
        <w:t xml:space="preserve">, </w:t>
      </w:r>
      <w:r w:rsidR="00824193" w:rsidRPr="3EE44551">
        <w:t xml:space="preserve">the Board and executive of ARPC undertake a strategic planning process </w:t>
      </w:r>
      <w:r w:rsidR="00923670">
        <w:t>e</w:t>
      </w:r>
      <w:r w:rsidR="00923670" w:rsidRPr="3EE44551">
        <w:t>ach year</w:t>
      </w:r>
      <w:r w:rsidR="00923670">
        <w:t xml:space="preserve"> </w:t>
      </w:r>
      <w:r w:rsidR="00824193" w:rsidRPr="3EE44551">
        <w:t xml:space="preserve">to set the Corporation’s </w:t>
      </w:r>
      <w:r>
        <w:t>vision</w:t>
      </w:r>
      <w:r w:rsidR="00824193" w:rsidRPr="3EE44551">
        <w:t xml:space="preserve">, </w:t>
      </w:r>
      <w:r>
        <w:t>mission</w:t>
      </w:r>
      <w:r w:rsidR="00824193" w:rsidRPr="3EE44551">
        <w:t>, strategic priorities</w:t>
      </w:r>
      <w:r w:rsidR="009B1EAE">
        <w:t xml:space="preserve"> </w:t>
      </w:r>
      <w:r w:rsidR="009B1EAE" w:rsidRPr="3EE44551">
        <w:t xml:space="preserve">and </w:t>
      </w:r>
      <w:r w:rsidR="009B1EAE">
        <w:t>values</w:t>
      </w:r>
      <w:r w:rsidR="00824193" w:rsidRPr="3EE44551">
        <w:t>. The Corporate Plan is the principal planning document for ARPC and outlines the actions required for successful implementation of ARPC’s s</w:t>
      </w:r>
      <w:r w:rsidR="00541E21">
        <w:t>trategy. The plan also details key performance i</w:t>
      </w:r>
      <w:r w:rsidR="00824193" w:rsidRPr="3EE44551">
        <w:t xml:space="preserve">ndicators to measure progress.  </w:t>
      </w:r>
    </w:p>
    <w:p w14:paraId="26B246D9" w14:textId="77777777" w:rsidR="00824193" w:rsidRPr="00E80042" w:rsidRDefault="00824193" w:rsidP="005F7837">
      <w:pPr>
        <w:pStyle w:val="Bodytext"/>
      </w:pPr>
      <w:r w:rsidRPr="3EE44551">
        <w:t>Should you have any questions or require further information please do not hesitate to contact me.</w:t>
      </w:r>
    </w:p>
    <w:p w14:paraId="2054C81B" w14:textId="77777777" w:rsidR="00824193" w:rsidRDefault="00824193" w:rsidP="00C3571B">
      <w:pPr>
        <w:pStyle w:val="Bodytext"/>
        <w:spacing w:before="600" w:after="0"/>
      </w:pPr>
      <w:r w:rsidRPr="3EE44551">
        <w:t>Yours sincerely</w:t>
      </w:r>
    </w:p>
    <w:p w14:paraId="6F8D678B" w14:textId="382EFE29" w:rsidR="00A44CEE" w:rsidRDefault="00AB0F24" w:rsidP="00460482">
      <w:pPr>
        <w:pStyle w:val="Bodytext"/>
        <w:spacing w:before="120" w:after="0"/>
        <w:rPr>
          <w:noProof/>
        </w:rPr>
      </w:pPr>
      <w:r>
        <w:rPr>
          <w:noProof/>
        </w:rPr>
        <w:t>(signature supplied)</w:t>
      </w:r>
    </w:p>
    <w:p w14:paraId="7DD93A04" w14:textId="77777777" w:rsidR="00AB0F24" w:rsidRDefault="00AB0F24" w:rsidP="00460482">
      <w:pPr>
        <w:pStyle w:val="Bodytext"/>
        <w:spacing w:before="120" w:after="0"/>
      </w:pPr>
    </w:p>
    <w:p w14:paraId="1ECA3CBE" w14:textId="77777777" w:rsidR="00824193" w:rsidRPr="00AF42F3" w:rsidRDefault="00824193" w:rsidP="00460482">
      <w:pPr>
        <w:pStyle w:val="Bodytext"/>
        <w:spacing w:before="120" w:after="0"/>
      </w:pPr>
      <w:r w:rsidRPr="00AF42F3">
        <w:t xml:space="preserve">Ian Carson AM </w:t>
      </w:r>
    </w:p>
    <w:p w14:paraId="4F88FCD8" w14:textId="77777777" w:rsidR="00824193" w:rsidRPr="00AF42F3" w:rsidRDefault="00824193" w:rsidP="005F7837">
      <w:pPr>
        <w:pStyle w:val="Bodytext"/>
        <w:spacing w:before="0" w:after="0"/>
      </w:pPr>
      <w:r w:rsidRPr="00AF42F3">
        <w:t>Chair</w:t>
      </w:r>
    </w:p>
    <w:p w14:paraId="5558D0AC" w14:textId="027AE7AE" w:rsidR="00824193" w:rsidRPr="00AF42F3" w:rsidRDefault="00824193" w:rsidP="005F7837">
      <w:pPr>
        <w:pStyle w:val="Bodytext"/>
        <w:spacing w:before="0" w:after="0"/>
      </w:pPr>
      <w:r w:rsidRPr="00AF42F3">
        <w:t xml:space="preserve">cc </w:t>
      </w:r>
      <w:r w:rsidR="00941F81">
        <w:t xml:space="preserve">Senator </w:t>
      </w:r>
      <w:r w:rsidR="00957B6D">
        <w:t xml:space="preserve">the Hon </w:t>
      </w:r>
      <w:r w:rsidRPr="00AF42F3">
        <w:t>Mathias Cormann</w:t>
      </w:r>
    </w:p>
    <w:p w14:paraId="4B4A2708" w14:textId="1030918E" w:rsidR="00824193" w:rsidRPr="00E80042" w:rsidRDefault="00824193" w:rsidP="005F7837">
      <w:pPr>
        <w:pStyle w:val="Bodytext"/>
        <w:spacing w:before="0" w:after="0"/>
      </w:pPr>
      <w:r w:rsidRPr="00AF42F3">
        <w:t>Minister for Finance</w:t>
      </w:r>
      <w:r w:rsidR="004073B4">
        <w:t xml:space="preserve"> and the Public Service</w:t>
      </w:r>
    </w:p>
    <w:p w14:paraId="76F4821B" w14:textId="77777777" w:rsidR="008D19C5" w:rsidRDefault="008D19C5" w:rsidP="005F7837">
      <w:pPr>
        <w:pStyle w:val="Bodytext"/>
      </w:pPr>
    </w:p>
    <w:p w14:paraId="60C3E9C8" w14:textId="77777777" w:rsidR="008D19C5" w:rsidRDefault="008D19C5" w:rsidP="005F7837">
      <w:pPr>
        <w:pStyle w:val="Bodytext"/>
      </w:pPr>
    </w:p>
    <w:p w14:paraId="76C841DC" w14:textId="1D304B42" w:rsidR="00824193" w:rsidRPr="00BE03AD" w:rsidRDefault="00824193" w:rsidP="005F7837">
      <w:pPr>
        <w:pStyle w:val="Bodytext"/>
      </w:pPr>
      <w:r w:rsidRPr="00BE03AD">
        <w:t>Correspondence to: PO Box Q1432, Queen Victoria Building, NSW 1230</w:t>
      </w:r>
      <w:r w:rsidRPr="00BE03AD">
        <w:br/>
      </w:r>
      <w:r w:rsidRPr="00BE03AD">
        <w:rPr>
          <w:b/>
          <w:bCs/>
        </w:rPr>
        <w:t>T</w:t>
      </w:r>
      <w:r w:rsidRPr="00BE03AD">
        <w:t xml:space="preserve"> +61 2 8223-6777 | </w:t>
      </w:r>
      <w:r w:rsidRPr="00BE03AD">
        <w:rPr>
          <w:b/>
          <w:bCs/>
        </w:rPr>
        <w:t>F</w:t>
      </w:r>
      <w:r w:rsidRPr="00BE03AD">
        <w:t xml:space="preserve"> +61 2 9241-1887| </w:t>
      </w:r>
      <w:r w:rsidRPr="00BE03AD">
        <w:rPr>
          <w:b/>
          <w:bCs/>
        </w:rPr>
        <w:t>E</w:t>
      </w:r>
      <w:r w:rsidRPr="00BE03AD">
        <w:t xml:space="preserve"> enquiries@arpc.gov.au</w:t>
      </w:r>
      <w:r w:rsidRPr="00BE03AD">
        <w:br/>
      </w:r>
      <w:r w:rsidRPr="00BE03AD">
        <w:rPr>
          <w:b/>
          <w:bCs/>
        </w:rPr>
        <w:t>www.arpc.gov.au</w:t>
      </w:r>
      <w:r w:rsidRPr="00BE03AD">
        <w:t xml:space="preserve"> | ABN 7480713687</w:t>
      </w:r>
    </w:p>
    <w:p w14:paraId="7B937A99" w14:textId="77777777" w:rsidR="00A5069F" w:rsidRDefault="00A5069F" w:rsidP="005F7837">
      <w:pPr>
        <w:pStyle w:val="Bodytext"/>
        <w:sectPr w:rsidR="00A5069F" w:rsidSect="005E3D0D">
          <w:footerReference w:type="even" r:id="rId13"/>
          <w:footerReference w:type="default" r:id="rId14"/>
          <w:headerReference w:type="first" r:id="rId15"/>
          <w:footerReference w:type="first" r:id="rId16"/>
          <w:pgSz w:w="11900" w:h="16840"/>
          <w:pgMar w:top="1985" w:right="1800" w:bottom="1440" w:left="1800" w:header="708" w:footer="708" w:gutter="0"/>
          <w:cols w:space="708"/>
          <w:titlePg/>
        </w:sectPr>
      </w:pPr>
    </w:p>
    <w:p w14:paraId="63D32C27" w14:textId="77777777" w:rsidR="00A5069F" w:rsidRPr="00032C16" w:rsidRDefault="0074546C">
      <w:pPr>
        <w:pStyle w:val="Heading1"/>
      </w:pPr>
      <w:bookmarkStart w:id="1" w:name="_Toc518251571"/>
      <w:bookmarkStart w:id="2" w:name="_Toc522221636"/>
      <w:r>
        <w:rPr>
          <w:noProof/>
          <w:lang w:eastAsia="en-AU"/>
        </w:rPr>
        <w:lastRenderedPageBreak/>
        <w:drawing>
          <wp:anchor distT="0" distB="0" distL="114300" distR="114300" simplePos="0" relativeHeight="251658240" behindDoc="1" locked="0" layoutInCell="1" allowOverlap="1" wp14:anchorId="480680B4" wp14:editId="3C845960">
            <wp:simplePos x="0" y="0"/>
            <wp:positionH relativeFrom="page">
              <wp:posOffset>-1905</wp:posOffset>
            </wp:positionH>
            <wp:positionV relativeFrom="paragraph">
              <wp:posOffset>-1724025</wp:posOffset>
            </wp:positionV>
            <wp:extent cx="7560000" cy="7531763"/>
            <wp:effectExtent l="0" t="0" r="3175" b="0"/>
            <wp:wrapNone/>
            <wp:docPr id="11" name="Picture 11" descr="Section Divider Image" title="Section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Page.jpg"/>
                    <pic:cNvPicPr/>
                  </pic:nvPicPr>
                  <pic:blipFill>
                    <a:blip r:embed="rId17">
                      <a:extLst>
                        <a:ext uri="{28A0092B-C50C-407E-A947-70E740481C1C}">
                          <a14:useLocalDpi xmlns:a14="http://schemas.microsoft.com/office/drawing/2010/main" val="0"/>
                        </a:ext>
                      </a:extLst>
                    </a:blip>
                    <a:stretch>
                      <a:fillRect/>
                    </a:stretch>
                  </pic:blipFill>
                  <pic:spPr>
                    <a:xfrm>
                      <a:off x="0" y="0"/>
                      <a:ext cx="7560000" cy="7531763"/>
                    </a:xfrm>
                    <a:prstGeom prst="rect">
                      <a:avLst/>
                    </a:prstGeom>
                  </pic:spPr>
                </pic:pic>
              </a:graphicData>
            </a:graphic>
            <wp14:sizeRelH relativeFrom="page">
              <wp14:pctWidth>0</wp14:pctWidth>
            </wp14:sizeRelH>
            <wp14:sizeRelV relativeFrom="page">
              <wp14:pctHeight>0</wp14:pctHeight>
            </wp14:sizeRelV>
          </wp:anchor>
        </w:drawing>
      </w:r>
      <w:r w:rsidR="00833CC1" w:rsidRPr="0074546C">
        <w:rPr>
          <w:caps w:val="0"/>
        </w:rPr>
        <w:t>EXECUTIVE</w:t>
      </w:r>
      <w:r w:rsidR="00833CC1">
        <w:rPr>
          <w:caps w:val="0"/>
        </w:rPr>
        <w:t xml:space="preserve"> SUMMARY</w:t>
      </w:r>
      <w:bookmarkEnd w:id="1"/>
      <w:bookmarkEnd w:id="2"/>
      <w:r w:rsidR="00A5069F" w:rsidRPr="00032C16">
        <w:br w:type="page"/>
      </w:r>
    </w:p>
    <w:p w14:paraId="3751B5A7" w14:textId="77777777" w:rsidR="001258B1" w:rsidRPr="005F7837" w:rsidRDefault="00833CC1" w:rsidP="005F7837">
      <w:pPr>
        <w:pStyle w:val="Heading2"/>
      </w:pPr>
      <w:bookmarkStart w:id="3" w:name="_Toc516064777"/>
      <w:r w:rsidRPr="005F7837">
        <w:lastRenderedPageBreak/>
        <w:t>EXECUTIVE SUMMARY</w:t>
      </w:r>
      <w:bookmarkEnd w:id="3"/>
    </w:p>
    <w:p w14:paraId="54B28735" w14:textId="77777777" w:rsidR="00715B36" w:rsidRDefault="00715B36" w:rsidP="005F7837">
      <w:pPr>
        <w:pStyle w:val="Bodytext"/>
      </w:pPr>
      <w:r>
        <w:t>The 2018-2022 Corporate P</w:t>
      </w:r>
      <w:r w:rsidR="008047ED">
        <w:t xml:space="preserve">lan is the primary planning document </w:t>
      </w:r>
      <w:r w:rsidR="00F86CCC">
        <w:t xml:space="preserve">for </w:t>
      </w:r>
      <w:r w:rsidR="0046775A">
        <w:t xml:space="preserve">the </w:t>
      </w:r>
      <w:r w:rsidR="00F86CCC">
        <w:t>Australian Reinsurance Pool Corporation (ARPC)</w:t>
      </w:r>
      <w:r w:rsidR="008047ED">
        <w:t xml:space="preserve"> and address</w:t>
      </w:r>
      <w:r w:rsidR="0046775A">
        <w:t>es</w:t>
      </w:r>
      <w:r w:rsidR="008047ED">
        <w:t xml:space="preserve"> </w:t>
      </w:r>
      <w:r w:rsidR="00D574EE">
        <w:t xml:space="preserve">ARPC’s </w:t>
      </w:r>
      <w:r w:rsidR="008047ED">
        <w:t xml:space="preserve">Purpose, Environment, </w:t>
      </w:r>
      <w:r w:rsidR="00950808">
        <w:t>C</w:t>
      </w:r>
      <w:r w:rsidR="00FD0886">
        <w:t>apability</w:t>
      </w:r>
      <w:r w:rsidR="0046775A">
        <w:t>,</w:t>
      </w:r>
      <w:r w:rsidR="00D574EE">
        <w:t xml:space="preserve"> </w:t>
      </w:r>
      <w:r w:rsidR="008047ED">
        <w:t>Risk Oversight</w:t>
      </w:r>
      <w:r w:rsidR="00B46768">
        <w:t xml:space="preserve"> and</w:t>
      </w:r>
      <w:r w:rsidR="008047ED">
        <w:t xml:space="preserve"> </w:t>
      </w:r>
      <w:r w:rsidR="007B42F9">
        <w:t>Management</w:t>
      </w:r>
      <w:r w:rsidR="007018F7">
        <w:t xml:space="preserve"> and Performance</w:t>
      </w:r>
      <w:r w:rsidR="00F86CCC">
        <w:t xml:space="preserve">. </w:t>
      </w:r>
    </w:p>
    <w:p w14:paraId="5FF9D74A" w14:textId="77777777" w:rsidR="008047ED" w:rsidRDefault="00950808" w:rsidP="005F7837">
      <w:pPr>
        <w:pStyle w:val="Bodytext"/>
      </w:pPr>
      <w:r>
        <w:t>The Plan also</w:t>
      </w:r>
      <w:r w:rsidR="00D72089">
        <w:t xml:space="preserve"> </w:t>
      </w:r>
      <w:r w:rsidR="007B42F9">
        <w:t>include</w:t>
      </w:r>
      <w:r w:rsidR="00B807F1">
        <w:t>s</w:t>
      </w:r>
      <w:r w:rsidR="007B42F9">
        <w:t xml:space="preserve"> </w:t>
      </w:r>
      <w:r w:rsidR="00EB7DE9">
        <w:t xml:space="preserve">ARPC’s </w:t>
      </w:r>
      <w:r w:rsidR="00715B36">
        <w:t>strategic priorities</w:t>
      </w:r>
      <w:r w:rsidR="00DE59FC">
        <w:t xml:space="preserve"> and</w:t>
      </w:r>
      <w:r w:rsidR="008047ED">
        <w:t xml:space="preserve"> </w:t>
      </w:r>
      <w:r w:rsidR="00723B04">
        <w:t xml:space="preserve">the </w:t>
      </w:r>
      <w:r w:rsidR="00715B36">
        <w:t>activities</w:t>
      </w:r>
      <w:r w:rsidR="007B42F9">
        <w:t xml:space="preserve"> </w:t>
      </w:r>
      <w:r w:rsidR="00DE59FC">
        <w:t xml:space="preserve">it will </w:t>
      </w:r>
      <w:r w:rsidR="00D72089">
        <w:t>undertake to</w:t>
      </w:r>
      <w:r w:rsidR="00EB7DE9">
        <w:t xml:space="preserve"> achieve</w:t>
      </w:r>
      <w:r w:rsidR="007B42F9">
        <w:t xml:space="preserve"> those priorities</w:t>
      </w:r>
      <w:r w:rsidR="00D72089">
        <w:t xml:space="preserve"> </w:t>
      </w:r>
      <w:r w:rsidR="001D406F">
        <w:t xml:space="preserve">together </w:t>
      </w:r>
      <w:r w:rsidR="00DE59FC">
        <w:t>with the</w:t>
      </w:r>
      <w:r w:rsidR="00D72089">
        <w:t xml:space="preserve"> performance meas</w:t>
      </w:r>
      <w:r w:rsidR="00BE7996">
        <w:t xml:space="preserve">ures </w:t>
      </w:r>
      <w:r w:rsidR="00586D49">
        <w:t>that</w:t>
      </w:r>
      <w:r w:rsidR="00BE7996">
        <w:t xml:space="preserve"> will </w:t>
      </w:r>
      <w:r w:rsidR="00586D49">
        <w:t xml:space="preserve">be </w:t>
      </w:r>
      <w:r w:rsidR="00BE7996">
        <w:t>use</w:t>
      </w:r>
      <w:r w:rsidR="00586D49">
        <w:t>d</w:t>
      </w:r>
      <w:r w:rsidR="00BE7996">
        <w:t xml:space="preserve"> to</w:t>
      </w:r>
      <w:r w:rsidR="003D5EF5">
        <w:t xml:space="preserve"> determine</w:t>
      </w:r>
      <w:r w:rsidR="00D72089">
        <w:t xml:space="preserve"> success</w:t>
      </w:r>
      <w:r w:rsidR="006249E2">
        <w:t>.</w:t>
      </w:r>
    </w:p>
    <w:p w14:paraId="0EC52653" w14:textId="77777777" w:rsidR="003767ED" w:rsidRDefault="003767ED" w:rsidP="005F7837">
      <w:pPr>
        <w:pStyle w:val="Bodytext"/>
      </w:pPr>
      <w:r w:rsidRPr="004D13CB">
        <w:t xml:space="preserve">ARPC </w:t>
      </w:r>
      <w:r w:rsidR="00287EEB">
        <w:t>complies</w:t>
      </w:r>
      <w:r w:rsidR="006249E2">
        <w:t xml:space="preserve"> with </w:t>
      </w:r>
      <w:r>
        <w:t xml:space="preserve">the </w:t>
      </w:r>
      <w:r w:rsidRPr="005F57C3">
        <w:rPr>
          <w:i/>
        </w:rPr>
        <w:t>Terrorism Insurance Act 2003</w:t>
      </w:r>
      <w:r w:rsidR="00287EEB">
        <w:rPr>
          <w:i/>
        </w:rPr>
        <w:t xml:space="preserve"> </w:t>
      </w:r>
      <w:r w:rsidR="00C1665B">
        <w:rPr>
          <w:i/>
        </w:rPr>
        <w:t>(TI Act)</w:t>
      </w:r>
      <w:r w:rsidR="00F57498">
        <w:rPr>
          <w:i/>
        </w:rPr>
        <w:t>,</w:t>
      </w:r>
      <w:r>
        <w:rPr>
          <w:i/>
        </w:rPr>
        <w:t xml:space="preserve"> </w:t>
      </w:r>
      <w:r w:rsidRPr="003F044A">
        <w:t>the</w:t>
      </w:r>
      <w:r w:rsidR="007E5FA9">
        <w:rPr>
          <w:i/>
        </w:rPr>
        <w:t xml:space="preserve"> </w:t>
      </w:r>
      <w:r w:rsidR="00DA7D62" w:rsidRPr="00DA7D62">
        <w:rPr>
          <w:i/>
        </w:rPr>
        <w:t>Public Governance, Performance and Accountability Act 2013 (</w:t>
      </w:r>
      <w:r w:rsidR="007E5FA9">
        <w:rPr>
          <w:i/>
        </w:rPr>
        <w:t>PGPA Ac</w:t>
      </w:r>
      <w:r w:rsidR="00586D49">
        <w:rPr>
          <w:i/>
        </w:rPr>
        <w:t>t</w:t>
      </w:r>
      <w:r w:rsidR="00DA7D62">
        <w:rPr>
          <w:i/>
        </w:rPr>
        <w:t>) the</w:t>
      </w:r>
      <w:r w:rsidR="00DA7D62" w:rsidRPr="00DA7D62">
        <w:t xml:space="preserve"> </w:t>
      </w:r>
      <w:r w:rsidR="00DA7D62" w:rsidRPr="00DA7D62">
        <w:rPr>
          <w:i/>
        </w:rPr>
        <w:t>Public Governance, Performance and Accountability Rule 2014</w:t>
      </w:r>
      <w:r w:rsidR="00DA7D62">
        <w:rPr>
          <w:i/>
        </w:rPr>
        <w:t xml:space="preserve"> </w:t>
      </w:r>
      <w:r w:rsidR="00DA7D62" w:rsidRPr="00DA7D62">
        <w:rPr>
          <w:i/>
        </w:rPr>
        <w:t xml:space="preserve">(PGPA </w:t>
      </w:r>
      <w:r w:rsidR="00DA7D62">
        <w:rPr>
          <w:i/>
        </w:rPr>
        <w:t>Rule</w:t>
      </w:r>
      <w:r w:rsidR="00DA7D62" w:rsidRPr="00DA7D62">
        <w:rPr>
          <w:i/>
        </w:rPr>
        <w:t>)</w:t>
      </w:r>
      <w:r w:rsidR="00DA7D62">
        <w:rPr>
          <w:i/>
        </w:rPr>
        <w:t>,</w:t>
      </w:r>
      <w:r w:rsidR="00586D49">
        <w:rPr>
          <w:i/>
        </w:rPr>
        <w:t xml:space="preserve"> </w:t>
      </w:r>
      <w:r w:rsidR="006249E2">
        <w:t xml:space="preserve">along with other </w:t>
      </w:r>
      <w:r w:rsidR="00C31415">
        <w:t xml:space="preserve">relevant </w:t>
      </w:r>
      <w:r w:rsidR="00004C30">
        <w:t>legislation and</w:t>
      </w:r>
      <w:r w:rsidR="00C1665B">
        <w:t xml:space="preserve"> operates in a changing environment that includes a dynamic </w:t>
      </w:r>
      <w:r>
        <w:t>global reinsurance market</w:t>
      </w:r>
      <w:r w:rsidR="006642E4">
        <w:t>.</w:t>
      </w:r>
    </w:p>
    <w:p w14:paraId="3C5BFBF8" w14:textId="77777777" w:rsidR="00287EEB" w:rsidRPr="004F6B6B" w:rsidRDefault="00287EEB" w:rsidP="004F6B6B">
      <w:pPr>
        <w:pStyle w:val="Bodytext"/>
      </w:pPr>
      <w:r w:rsidRPr="004F6B6B">
        <w:t>ARPC’s functions of corporation under section 10 of the TI Act are;</w:t>
      </w:r>
    </w:p>
    <w:p w14:paraId="2FDE2D51" w14:textId="77777777" w:rsidR="00287EEB" w:rsidRPr="004F6B6B" w:rsidRDefault="00287EEB" w:rsidP="002F3B7E">
      <w:pPr>
        <w:pStyle w:val="Bodytext"/>
        <w:numPr>
          <w:ilvl w:val="0"/>
          <w:numId w:val="28"/>
        </w:numPr>
        <w:ind w:left="284" w:hanging="284"/>
      </w:pPr>
      <w:r w:rsidRPr="004F6B6B">
        <w:t>to provide insurance cover for eligible terrorism losses (whether by entering into contracts or by other means);</w:t>
      </w:r>
      <w:r w:rsidR="004F6B6B">
        <w:t xml:space="preserve"> and</w:t>
      </w:r>
    </w:p>
    <w:p w14:paraId="797D3631" w14:textId="77777777" w:rsidR="00287EEB" w:rsidRPr="004F6B6B" w:rsidRDefault="00287EEB" w:rsidP="002F3B7E">
      <w:pPr>
        <w:pStyle w:val="Bodytext"/>
        <w:numPr>
          <w:ilvl w:val="0"/>
          <w:numId w:val="28"/>
        </w:numPr>
        <w:ind w:left="284" w:hanging="284"/>
      </w:pPr>
      <w:r w:rsidRPr="004F6B6B">
        <w:t>any other functions that are prescribed by the regulations.</w:t>
      </w:r>
    </w:p>
    <w:p w14:paraId="5394F7BA" w14:textId="77777777" w:rsidR="00287EEB" w:rsidRPr="004F6B6B" w:rsidRDefault="00287EEB" w:rsidP="004F6B6B">
      <w:pPr>
        <w:pStyle w:val="Bodytext"/>
      </w:pPr>
      <w:r w:rsidRPr="004F6B6B">
        <w:t xml:space="preserve">The </w:t>
      </w:r>
      <w:r w:rsidR="003B72B0">
        <w:t xml:space="preserve">key </w:t>
      </w:r>
      <w:r w:rsidR="00BA6A98">
        <w:t>performance areas</w:t>
      </w:r>
      <w:r w:rsidR="00EB16A2">
        <w:t xml:space="preserve"> of</w:t>
      </w:r>
      <w:r w:rsidRPr="004F6B6B">
        <w:t xml:space="preserve"> ARPC</w:t>
      </w:r>
      <w:r w:rsidR="00475564">
        <w:t xml:space="preserve"> </w:t>
      </w:r>
      <w:r w:rsidRPr="004F6B6B">
        <w:t xml:space="preserve">to support </w:t>
      </w:r>
      <w:r w:rsidR="00DB1745">
        <w:t>its</w:t>
      </w:r>
      <w:r w:rsidRPr="004F6B6B">
        <w:t xml:space="preserve"> functions of corporation </w:t>
      </w:r>
      <w:r w:rsidR="00BF72BA">
        <w:t>are</w:t>
      </w:r>
      <w:r w:rsidRPr="004F6B6B">
        <w:t>:</w:t>
      </w:r>
    </w:p>
    <w:p w14:paraId="14F07337" w14:textId="77777777" w:rsidR="00683826" w:rsidRPr="00914806" w:rsidRDefault="00914806" w:rsidP="00914806">
      <w:pPr>
        <w:pStyle w:val="BulletL1"/>
      </w:pPr>
      <w:r w:rsidRPr="00914806">
        <w:t xml:space="preserve">to </w:t>
      </w:r>
      <w:r w:rsidR="00683826" w:rsidRPr="00914806">
        <w:t>provide reinsurance for eligible terrorism losses;</w:t>
      </w:r>
    </w:p>
    <w:p w14:paraId="6780B3E2" w14:textId="77777777" w:rsidR="00683826" w:rsidRPr="00914806" w:rsidRDefault="00914806" w:rsidP="00914806">
      <w:pPr>
        <w:pStyle w:val="BulletL1"/>
      </w:pPr>
      <w:r w:rsidRPr="00914806">
        <w:t xml:space="preserve">to </w:t>
      </w:r>
      <w:r w:rsidR="00683826" w:rsidRPr="00914806">
        <w:t>encourage private sector participation through the retrocession program;</w:t>
      </w:r>
    </w:p>
    <w:p w14:paraId="4F81DA10" w14:textId="77777777" w:rsidR="00683826" w:rsidRPr="00914806" w:rsidRDefault="00914806" w:rsidP="00914806">
      <w:pPr>
        <w:pStyle w:val="BulletL1"/>
      </w:pPr>
      <w:r w:rsidRPr="00914806">
        <w:t xml:space="preserve">to </w:t>
      </w:r>
      <w:r w:rsidR="00683826" w:rsidRPr="00914806">
        <w:t>compensate the Government; and</w:t>
      </w:r>
    </w:p>
    <w:p w14:paraId="43978668" w14:textId="77777777" w:rsidR="00683826" w:rsidRPr="00914806" w:rsidRDefault="00914806" w:rsidP="00914806">
      <w:pPr>
        <w:pStyle w:val="BulletL1"/>
      </w:pPr>
      <w:r w:rsidRPr="00914806">
        <w:t xml:space="preserve">to </w:t>
      </w:r>
      <w:r w:rsidR="00683826" w:rsidRPr="00914806">
        <w:t xml:space="preserve">maintain financial sustainability and </w:t>
      </w:r>
      <w:proofErr w:type="spellStart"/>
      <w:r w:rsidR="00683826" w:rsidRPr="00914806">
        <w:t>organisational</w:t>
      </w:r>
      <w:proofErr w:type="spellEnd"/>
      <w:r w:rsidR="00683826" w:rsidRPr="00914806">
        <w:t xml:space="preserve"> resilience.</w:t>
      </w:r>
    </w:p>
    <w:p w14:paraId="270C2185" w14:textId="77777777" w:rsidR="00CE670D" w:rsidRDefault="00F57498" w:rsidP="00187159">
      <w:pPr>
        <w:pStyle w:val="Bodytext"/>
      </w:pPr>
      <w:r w:rsidRPr="00F57498">
        <w:t xml:space="preserve">These key performance areas measure the delivery of </w:t>
      </w:r>
      <w:r w:rsidR="006D548B">
        <w:t>ARPC</w:t>
      </w:r>
      <w:r>
        <w:t>’s</w:t>
      </w:r>
      <w:r w:rsidR="006D548B">
        <w:t xml:space="preserve"> </w:t>
      </w:r>
      <w:r w:rsidR="00E336C0">
        <w:t xml:space="preserve">strategic priorities </w:t>
      </w:r>
      <w:r w:rsidR="00850AF2">
        <w:t xml:space="preserve">to achieve </w:t>
      </w:r>
      <w:r w:rsidR="00C1665B">
        <w:t>its</w:t>
      </w:r>
      <w:r w:rsidR="00850AF2">
        <w:t xml:space="preserve"> </w:t>
      </w:r>
      <w:r w:rsidR="001743C3">
        <w:t>Vision and Mission for the coming period</w:t>
      </w:r>
      <w:r w:rsidR="00D44C07">
        <w:t>. S</w:t>
      </w:r>
      <w:r w:rsidR="004F6B6B">
        <w:t xml:space="preserve">ee </w:t>
      </w:r>
      <w:r w:rsidR="004F6B6B" w:rsidRPr="004F6B6B">
        <w:rPr>
          <w:i/>
        </w:rPr>
        <w:t>Figure 1.1</w:t>
      </w:r>
      <w:r w:rsidR="00CE670D">
        <w:t>.</w:t>
      </w:r>
    </w:p>
    <w:p w14:paraId="176EA7B6" w14:textId="77777777" w:rsidR="00BF7CFF" w:rsidRPr="00BF7CFF" w:rsidRDefault="00BF7CFF" w:rsidP="00187159">
      <w:pPr>
        <w:pStyle w:val="Bodytext"/>
        <w:rPr>
          <w:b/>
        </w:rPr>
      </w:pPr>
      <w:r w:rsidRPr="00550F01">
        <w:rPr>
          <w:i/>
        </w:rPr>
        <w:t>Figure 1.2</w:t>
      </w:r>
      <w:r w:rsidRPr="00550F01">
        <w:t xml:space="preserve"> provides an overview of the current strategic environment faced by ARPC and how </w:t>
      </w:r>
      <w:r w:rsidR="00E747D2" w:rsidRPr="00550F01">
        <w:t>it</w:t>
      </w:r>
      <w:r w:rsidRPr="00550F01">
        <w:t xml:space="preserve"> plan</w:t>
      </w:r>
      <w:r w:rsidR="00844D4F" w:rsidRPr="00550F01">
        <w:t>s</w:t>
      </w:r>
      <w:r w:rsidRPr="00550F01">
        <w:t xml:space="preserve"> to respond in the coming period.</w:t>
      </w:r>
    </w:p>
    <w:p w14:paraId="0B24B408" w14:textId="77777777" w:rsidR="00C3571B" w:rsidRDefault="00C3571B">
      <w:pPr>
        <w:spacing w:after="0"/>
        <w:rPr>
          <w:rStyle w:val="Figure"/>
          <w:highlight w:val="yellow"/>
        </w:rPr>
      </w:pPr>
      <w:r>
        <w:rPr>
          <w:rStyle w:val="Figure"/>
          <w:highlight w:val="yellow"/>
        </w:rPr>
        <w:br w:type="page"/>
      </w:r>
    </w:p>
    <w:p w14:paraId="1A1B5241" w14:textId="77777777" w:rsidR="00601251" w:rsidRDefault="00601251" w:rsidP="00B13989">
      <w:pPr>
        <w:spacing w:after="0"/>
        <w:rPr>
          <w:rStyle w:val="Figure"/>
        </w:rPr>
      </w:pPr>
      <w:r w:rsidRPr="002F3B7E">
        <w:rPr>
          <w:rStyle w:val="Figure"/>
        </w:rPr>
        <w:lastRenderedPageBreak/>
        <w:t xml:space="preserve">Figure 1.1 </w:t>
      </w:r>
      <w:r w:rsidR="0022104B" w:rsidRPr="002F3B7E">
        <w:rPr>
          <w:rStyle w:val="Figure"/>
        </w:rPr>
        <w:t>Vision, Mission and Strategic Priorities</w:t>
      </w:r>
      <w:r w:rsidR="009630F6" w:rsidRPr="002F3B7E">
        <w:rPr>
          <w:rStyle w:val="Figure"/>
        </w:rPr>
        <w:t xml:space="preserve"> for the 2018-22 period</w:t>
      </w:r>
    </w:p>
    <w:p w14:paraId="252F35B2" w14:textId="77777777" w:rsidR="00295398" w:rsidRDefault="00C3571B" w:rsidP="00C3571B">
      <w:pPr>
        <w:pStyle w:val="Bodytext"/>
        <w:jc w:val="center"/>
        <w:rPr>
          <w:rStyle w:val="Figure"/>
          <w:rFonts w:asciiTheme="minorHAnsi" w:hAnsiTheme="minorHAnsi" w:cstheme="minorBidi"/>
          <w:noProof/>
          <w:szCs w:val="24"/>
        </w:rPr>
      </w:pPr>
      <w:bookmarkStart w:id="4" w:name="_Toc513732531"/>
      <w:r>
        <w:rPr>
          <w:rStyle w:val="Figure"/>
          <w:noProof/>
          <w:lang w:eastAsia="en-AU"/>
        </w:rPr>
        <w:drawing>
          <wp:inline distT="0" distB="0" distL="0" distR="0" wp14:anchorId="3C658580" wp14:editId="1DBF603C">
            <wp:extent cx="7740180" cy="4844573"/>
            <wp:effectExtent l="0" t="0" r="0" b="0"/>
            <wp:docPr id="14" name="Picture 14" descr="Vision, Mission and Strategic Priorities for the 2018-22 period" title="Figure 1.1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7741298" cy="4845273"/>
                    </a:xfrm>
                    <a:prstGeom prst="rect">
                      <a:avLst/>
                    </a:prstGeom>
                    <a:noFill/>
                  </pic:spPr>
                </pic:pic>
              </a:graphicData>
            </a:graphic>
          </wp:inline>
        </w:drawing>
      </w:r>
      <w:r w:rsidR="00295398">
        <w:rPr>
          <w:rStyle w:val="Figure"/>
        </w:rPr>
        <w:br w:type="page"/>
      </w:r>
    </w:p>
    <w:p w14:paraId="1F2BBC57" w14:textId="77777777" w:rsidR="004376E7" w:rsidRPr="005F7837" w:rsidRDefault="00D26208" w:rsidP="002F3B7E">
      <w:pPr>
        <w:pStyle w:val="Bodytext"/>
        <w:ind w:left="284" w:hanging="284"/>
        <w:rPr>
          <w:rStyle w:val="Figure"/>
        </w:rPr>
      </w:pPr>
      <w:r w:rsidRPr="002F3B7E">
        <w:rPr>
          <w:rStyle w:val="Figure"/>
        </w:rPr>
        <w:lastRenderedPageBreak/>
        <w:t>Figure 1.</w:t>
      </w:r>
      <w:r w:rsidR="009630F6" w:rsidRPr="002F3B7E">
        <w:rPr>
          <w:rStyle w:val="Figure"/>
        </w:rPr>
        <w:t>2</w:t>
      </w:r>
      <w:r w:rsidRPr="002F3B7E">
        <w:rPr>
          <w:rStyle w:val="Figure"/>
        </w:rPr>
        <w:t xml:space="preserve">: </w:t>
      </w:r>
      <w:r w:rsidR="004376E7" w:rsidRPr="002F3B7E">
        <w:rPr>
          <w:rStyle w:val="Figure"/>
        </w:rPr>
        <w:t>ARPC on a page</w:t>
      </w:r>
    </w:p>
    <w:p w14:paraId="6BE524CD" w14:textId="77777777" w:rsidR="005A1DC1" w:rsidRDefault="002250C7" w:rsidP="005F7837">
      <w:pPr>
        <w:pStyle w:val="Bodytext"/>
        <w:rPr>
          <w:rStyle w:val="Figure"/>
          <w:b w:val="0"/>
          <w:color w:val="000000"/>
          <w:sz w:val="21"/>
        </w:rPr>
      </w:pPr>
      <w:r w:rsidRPr="005F7837">
        <w:rPr>
          <w:rStyle w:val="Figure"/>
          <w:b w:val="0"/>
          <w:color w:val="000000"/>
          <w:sz w:val="21"/>
        </w:rPr>
        <w:t>Th</w:t>
      </w:r>
      <w:r w:rsidR="00532A23" w:rsidRPr="005F7837">
        <w:rPr>
          <w:rStyle w:val="Figure"/>
          <w:b w:val="0"/>
          <w:color w:val="000000"/>
          <w:sz w:val="21"/>
        </w:rPr>
        <w:t xml:space="preserve">e following diagram outlines ARPC’s </w:t>
      </w:r>
      <w:r w:rsidR="00C1665B">
        <w:rPr>
          <w:rStyle w:val="Figure"/>
          <w:b w:val="0"/>
          <w:color w:val="000000"/>
          <w:sz w:val="21"/>
        </w:rPr>
        <w:t>v</w:t>
      </w:r>
      <w:r w:rsidR="00532A23" w:rsidRPr="005F7837">
        <w:rPr>
          <w:rStyle w:val="Figure"/>
          <w:b w:val="0"/>
          <w:color w:val="000000"/>
          <w:sz w:val="21"/>
        </w:rPr>
        <w:t>ision,</w:t>
      </w:r>
      <w:r w:rsidR="006741A2">
        <w:rPr>
          <w:rStyle w:val="Figure"/>
          <w:b w:val="0"/>
          <w:color w:val="000000"/>
          <w:sz w:val="21"/>
        </w:rPr>
        <w:t xml:space="preserve"> </w:t>
      </w:r>
      <w:r w:rsidR="00532A23" w:rsidRPr="005F7837">
        <w:rPr>
          <w:rStyle w:val="Figure"/>
          <w:b w:val="0"/>
          <w:color w:val="000000"/>
          <w:sz w:val="21"/>
        </w:rPr>
        <w:t xml:space="preserve">strategic priorities, values, </w:t>
      </w:r>
      <w:r w:rsidR="00553F27">
        <w:rPr>
          <w:rStyle w:val="Figure"/>
          <w:b w:val="0"/>
          <w:color w:val="000000"/>
          <w:sz w:val="21"/>
        </w:rPr>
        <w:t>performance areas,</w:t>
      </w:r>
      <w:r w:rsidR="00553F27" w:rsidRPr="005F7837">
        <w:rPr>
          <w:rStyle w:val="Figure"/>
          <w:b w:val="0"/>
          <w:color w:val="000000"/>
          <w:sz w:val="21"/>
        </w:rPr>
        <w:t xml:space="preserve"> </w:t>
      </w:r>
      <w:r w:rsidR="00532A23" w:rsidRPr="005F7837">
        <w:rPr>
          <w:rStyle w:val="Figure"/>
          <w:b w:val="0"/>
          <w:color w:val="000000"/>
          <w:sz w:val="21"/>
        </w:rPr>
        <w:t xml:space="preserve">risk and performance measures. </w:t>
      </w:r>
      <w:bookmarkEnd w:id="4"/>
    </w:p>
    <w:p w14:paraId="50C1CC73" w14:textId="77777777" w:rsidR="00C3571B" w:rsidRDefault="00993593" w:rsidP="00296B4E">
      <w:pPr>
        <w:pStyle w:val="Bodytext"/>
      </w:pPr>
      <w:r>
        <w:rPr>
          <w:noProof/>
          <w:lang w:eastAsia="en-AU"/>
        </w:rPr>
        <w:drawing>
          <wp:inline distT="0" distB="0" distL="0" distR="0" wp14:anchorId="51DBA461" wp14:editId="723DFB1F">
            <wp:extent cx="7255927" cy="5034828"/>
            <wp:effectExtent l="5715" t="0" r="8255" b="8255"/>
            <wp:docPr id="3" name="Picture 3" title="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28A0092B-C50C-407E-A947-70E740481C1C}">
                          <a14:useLocalDpi xmlns:a14="http://schemas.microsoft.com/office/drawing/2010/main" val="0"/>
                        </a:ext>
                      </a:extLst>
                    </a:blip>
                    <a:srcRect t="1441" r="5776"/>
                    <a:stretch/>
                  </pic:blipFill>
                  <pic:spPr bwMode="auto">
                    <a:xfrm rot="16200000">
                      <a:off x="0" y="0"/>
                      <a:ext cx="7277818" cy="5050018"/>
                    </a:xfrm>
                    <a:prstGeom prst="rect">
                      <a:avLst/>
                    </a:prstGeom>
                    <a:noFill/>
                    <a:ln>
                      <a:noFill/>
                    </a:ln>
                    <a:extLst>
                      <a:ext uri="{53640926-AAD7-44D8-BBD7-CCE9431645EC}">
                        <a14:shadowObscured xmlns:a14="http://schemas.microsoft.com/office/drawing/2010/main"/>
                      </a:ext>
                    </a:extLst>
                  </pic:spPr>
                </pic:pic>
              </a:graphicData>
            </a:graphic>
          </wp:inline>
        </w:drawing>
      </w:r>
      <w:r w:rsidR="00C3571B">
        <w:br w:type="page"/>
      </w:r>
    </w:p>
    <w:p w14:paraId="35CD3AE9" w14:textId="77777777" w:rsidR="00EF05D3" w:rsidRPr="00032C16" w:rsidRDefault="00EF05D3" w:rsidP="00EF05D3">
      <w:pPr>
        <w:pStyle w:val="Heading1"/>
      </w:pPr>
      <w:bookmarkStart w:id="5" w:name="_Toc518251572"/>
      <w:bookmarkStart w:id="6" w:name="_Toc522221637"/>
      <w:r>
        <w:rPr>
          <w:noProof/>
          <w:lang w:eastAsia="en-AU"/>
        </w:rPr>
        <w:lastRenderedPageBreak/>
        <w:drawing>
          <wp:anchor distT="0" distB="0" distL="114300" distR="114300" simplePos="0" relativeHeight="251658243" behindDoc="1" locked="0" layoutInCell="1" allowOverlap="1" wp14:anchorId="4ED7C4F4" wp14:editId="46ABA5AC">
            <wp:simplePos x="0" y="0"/>
            <wp:positionH relativeFrom="page">
              <wp:posOffset>-1905</wp:posOffset>
            </wp:positionH>
            <wp:positionV relativeFrom="paragraph">
              <wp:posOffset>-1724025</wp:posOffset>
            </wp:positionV>
            <wp:extent cx="7560000" cy="7531763"/>
            <wp:effectExtent l="0" t="0" r="3175" b="0"/>
            <wp:wrapNone/>
            <wp:docPr id="1" name="Picture 1" descr="Section Divider" title="Section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Page.jpg"/>
                    <pic:cNvPicPr/>
                  </pic:nvPicPr>
                  <pic:blipFill>
                    <a:blip r:embed="rId17">
                      <a:extLst>
                        <a:ext uri="{28A0092B-C50C-407E-A947-70E740481C1C}">
                          <a14:useLocalDpi xmlns:a14="http://schemas.microsoft.com/office/drawing/2010/main" val="0"/>
                        </a:ext>
                      </a:extLst>
                    </a:blip>
                    <a:stretch>
                      <a:fillRect/>
                    </a:stretch>
                  </pic:blipFill>
                  <pic:spPr>
                    <a:xfrm>
                      <a:off x="0" y="0"/>
                      <a:ext cx="7560000" cy="7531763"/>
                    </a:xfrm>
                    <a:prstGeom prst="rect">
                      <a:avLst/>
                    </a:prstGeom>
                  </pic:spPr>
                </pic:pic>
              </a:graphicData>
            </a:graphic>
            <wp14:sizeRelH relativeFrom="page">
              <wp14:pctWidth>0</wp14:pctWidth>
            </wp14:sizeRelH>
            <wp14:sizeRelV relativeFrom="page">
              <wp14:pctHeight>0</wp14:pctHeight>
            </wp14:sizeRelV>
          </wp:anchor>
        </w:drawing>
      </w:r>
      <w:r>
        <w:rPr>
          <w:caps w:val="0"/>
        </w:rPr>
        <w:t>INTRODUCTION</w:t>
      </w:r>
      <w:bookmarkEnd w:id="5"/>
      <w:bookmarkEnd w:id="6"/>
      <w:r w:rsidRPr="00032C16">
        <w:br w:type="page"/>
      </w:r>
    </w:p>
    <w:p w14:paraId="1D59BC09" w14:textId="77777777" w:rsidR="00EF05D3" w:rsidRPr="005F7837" w:rsidRDefault="00EF05D3" w:rsidP="00EF05D3">
      <w:pPr>
        <w:pStyle w:val="Heading2"/>
      </w:pPr>
      <w:r>
        <w:lastRenderedPageBreak/>
        <w:t>INTRODUCTION</w:t>
      </w:r>
    </w:p>
    <w:p w14:paraId="168F7260" w14:textId="77777777" w:rsidR="006F1DBA" w:rsidRDefault="006F1DBA" w:rsidP="006F1DBA">
      <w:pPr>
        <w:pStyle w:val="Heading3"/>
      </w:pPr>
      <w:bookmarkStart w:id="7" w:name="_Toc518251573"/>
      <w:bookmarkStart w:id="8" w:name="_Toc522221638"/>
      <w:r>
        <w:t>Background</w:t>
      </w:r>
      <w:bookmarkEnd w:id="7"/>
      <w:bookmarkEnd w:id="8"/>
    </w:p>
    <w:p w14:paraId="18237CD5" w14:textId="77777777" w:rsidR="006F1DBA" w:rsidRDefault="006F1DBA" w:rsidP="006F1DBA">
      <w:pPr>
        <w:pStyle w:val="Bodytext"/>
      </w:pPr>
      <w:r>
        <w:t>ARPC is a Public Financial Corporation established in July 2003 under the TI Act to administer the terrorism insurance scheme. It was established following the terrorist attacks in the USA on 11 September 2001. After this incident, there was a global withdrawal of terrorism insurance, leaving commercial property in Australia uninsured against terroris</w:t>
      </w:r>
      <w:r w:rsidR="006A13B4">
        <w:t>t</w:t>
      </w:r>
      <w:r>
        <w:t xml:space="preserve"> attacks. This gap in the market reduced access to project funding and commercial refinancing which threatened some sectors of the Australian economy. </w:t>
      </w:r>
    </w:p>
    <w:p w14:paraId="2478B473" w14:textId="77777777" w:rsidR="006F1DBA" w:rsidRDefault="006F1DBA" w:rsidP="006F1DBA">
      <w:pPr>
        <w:pStyle w:val="Bodytext"/>
      </w:pPr>
      <w:r>
        <w:t xml:space="preserve">In the event of a Declared Terrorist Incident (DTI), the TI Act renders terrorism exclusion clauses in eligible insurance contracts invalid in relation to loss or liabilities arising from the DTI. In such a situation, insurers remain liable for eligible losses to insured property assets </w:t>
      </w:r>
      <w:proofErr w:type="gramStart"/>
      <w:r>
        <w:t>as a result of</w:t>
      </w:r>
      <w:proofErr w:type="gramEnd"/>
      <w:r>
        <w:t xml:space="preserve"> the DTI. Insurers can choose to retain the liability they carry for the risk </w:t>
      </w:r>
      <w:r w:rsidR="00474853">
        <w:t>of</w:t>
      </w:r>
      <w:r>
        <w:t xml:space="preserve"> terrorism losses themselves, reinsure the risk through the private reinsurance sector, or reinsure eligible insurance contracts with ARPC.</w:t>
      </w:r>
    </w:p>
    <w:p w14:paraId="45AF54AD" w14:textId="77777777" w:rsidR="006F1DBA" w:rsidRDefault="006F1DBA" w:rsidP="006F1DBA">
      <w:pPr>
        <w:pStyle w:val="Bodytext"/>
      </w:pPr>
      <w:r>
        <w:t xml:space="preserve">ARPC provides cost effective reinsurance and has $13.4 billion in total funding available for claims arising from a DTI, protecting more than 830,000 eligible insured property assets valued at </w:t>
      </w:r>
      <w:r w:rsidRPr="001E617D">
        <w:t>over $3.6 trillion nationwide</w:t>
      </w:r>
      <w:r>
        <w:t xml:space="preserve">. Through the purchase of a global retrocession program, ARPC enables risk sharing where there is inadequate terrorism insurance capacity in the Australian commercial market. </w:t>
      </w:r>
    </w:p>
    <w:p w14:paraId="725053D3" w14:textId="77777777" w:rsidR="00AA2FD7" w:rsidRDefault="006F1DBA" w:rsidP="00F57498">
      <w:pPr>
        <w:pStyle w:val="Bodytext"/>
        <w:rPr>
          <w:rFonts w:asciiTheme="majorHAnsi" w:hAnsiTheme="majorHAnsi" w:cstheme="minorBidi"/>
          <w:strike/>
        </w:rPr>
      </w:pPr>
      <w:r>
        <w:t xml:space="preserve">Additional information can be found on </w:t>
      </w:r>
      <w:r w:rsidR="002E339E">
        <w:t>the</w:t>
      </w:r>
      <w:r w:rsidR="00D03528">
        <w:t xml:space="preserve"> ARPC</w:t>
      </w:r>
      <w:r>
        <w:t xml:space="preserve"> website </w:t>
      </w:r>
      <w:hyperlink r:id="rId20" w:history="1">
        <w:r w:rsidRPr="000B7C2B">
          <w:rPr>
            <w:rStyle w:val="Hyperlink"/>
            <w:b/>
          </w:rPr>
          <w:t>www.arpc.gov.au</w:t>
        </w:r>
      </w:hyperlink>
    </w:p>
    <w:p w14:paraId="0EACC3D6" w14:textId="77777777" w:rsidR="00F57498" w:rsidRPr="00727BF8" w:rsidDel="00F31CF7" w:rsidRDefault="00F57498" w:rsidP="00F57498">
      <w:pPr>
        <w:pStyle w:val="Bodytext"/>
      </w:pPr>
      <w:r w:rsidRPr="00727BF8" w:rsidDel="00F31CF7">
        <w:t>ARPC’s functions of corporation under section 10 of the TI Act are;</w:t>
      </w:r>
    </w:p>
    <w:p w14:paraId="14E197BA" w14:textId="77777777" w:rsidR="00F57498" w:rsidRPr="00727BF8" w:rsidDel="00F31CF7" w:rsidRDefault="00F57498" w:rsidP="002F3B7E">
      <w:pPr>
        <w:pStyle w:val="Bodytext"/>
        <w:numPr>
          <w:ilvl w:val="0"/>
          <w:numId w:val="29"/>
        </w:numPr>
        <w:ind w:left="284" w:hanging="284"/>
      </w:pPr>
      <w:r w:rsidRPr="00727BF8" w:rsidDel="00F31CF7">
        <w:t>to provide insurance cover for eligible terrorism losses (whether by entering into contracts or by other means);</w:t>
      </w:r>
      <w:r w:rsidR="001A3009">
        <w:t xml:space="preserve"> and</w:t>
      </w:r>
    </w:p>
    <w:p w14:paraId="2D8669C7" w14:textId="77777777" w:rsidR="00F57498" w:rsidRPr="00727BF8" w:rsidDel="00F31CF7" w:rsidRDefault="00F57498" w:rsidP="002F3B7E">
      <w:pPr>
        <w:pStyle w:val="Bodytext"/>
        <w:numPr>
          <w:ilvl w:val="0"/>
          <w:numId w:val="29"/>
        </w:numPr>
        <w:ind w:left="284" w:hanging="284"/>
      </w:pPr>
      <w:r w:rsidRPr="00727BF8" w:rsidDel="00F31CF7">
        <w:t>any other functions that are prescribed by the regulations.</w:t>
      </w:r>
    </w:p>
    <w:p w14:paraId="1894BB68" w14:textId="77777777" w:rsidR="00F57498" w:rsidRPr="00DE39A7" w:rsidRDefault="007470F3" w:rsidP="00F57498">
      <w:pPr>
        <w:pStyle w:val="Bodytext"/>
      </w:pPr>
      <w:r>
        <w:t>The TI Act states that</w:t>
      </w:r>
      <w:r w:rsidR="00F57498">
        <w:t xml:space="preserve"> t</w:t>
      </w:r>
      <w:r w:rsidR="00F57498" w:rsidRPr="00DE39A7">
        <w:t>he Corporation has the power to do everything necessary or convenient to be done for</w:t>
      </w:r>
      <w:r>
        <w:t>,</w:t>
      </w:r>
      <w:r w:rsidR="00F57498" w:rsidRPr="00DE39A7">
        <w:t xml:space="preserve"> or in connection with</w:t>
      </w:r>
      <w:r>
        <w:t>,</w:t>
      </w:r>
      <w:r w:rsidR="00F57498" w:rsidRPr="00DE39A7">
        <w:t xml:space="preserve"> the performance of its functions, including: </w:t>
      </w:r>
    </w:p>
    <w:p w14:paraId="1CE63C88" w14:textId="77777777" w:rsidR="00F57498" w:rsidRPr="00DE39A7" w:rsidRDefault="00F57498" w:rsidP="002F3B7E">
      <w:pPr>
        <w:pStyle w:val="Bodytext"/>
        <w:numPr>
          <w:ilvl w:val="0"/>
          <w:numId w:val="10"/>
        </w:numPr>
        <w:ind w:left="284" w:hanging="284"/>
        <w:rPr>
          <w:lang w:val="en-US"/>
        </w:rPr>
      </w:pPr>
      <w:r w:rsidRPr="00DE39A7">
        <w:rPr>
          <w:lang w:val="en-US"/>
        </w:rPr>
        <w:t>the power to charge premiums in respect of contracts of insurance for which it is the insurer</w:t>
      </w:r>
      <w:r>
        <w:rPr>
          <w:lang w:val="en-US"/>
        </w:rPr>
        <w:t>; and</w:t>
      </w:r>
    </w:p>
    <w:p w14:paraId="47ACE647" w14:textId="77777777" w:rsidR="00F57498" w:rsidRPr="00DE39A7" w:rsidRDefault="00F57498" w:rsidP="002F3B7E">
      <w:pPr>
        <w:pStyle w:val="Bodytext"/>
        <w:numPr>
          <w:ilvl w:val="0"/>
          <w:numId w:val="10"/>
        </w:numPr>
        <w:ind w:left="284" w:hanging="284"/>
        <w:rPr>
          <w:lang w:val="en-US"/>
        </w:rPr>
      </w:pPr>
      <w:r w:rsidRPr="00DE39A7">
        <w:rPr>
          <w:lang w:val="en-US"/>
        </w:rPr>
        <w:t>the power to charge fees for services that it provides in connection with the performance of its functions.</w:t>
      </w:r>
    </w:p>
    <w:p w14:paraId="4F0B0676" w14:textId="77777777" w:rsidR="00F57498" w:rsidRPr="00410E06" w:rsidRDefault="00F57498" w:rsidP="00F57498">
      <w:pPr>
        <w:pStyle w:val="Bodytext"/>
        <w:rPr>
          <w:lang w:val="en-US"/>
        </w:rPr>
      </w:pPr>
      <w:r w:rsidRPr="00DE39A7">
        <w:t>The premiums that ARPC can charge its insurers are set</w:t>
      </w:r>
      <w:r>
        <w:t xml:space="preserve"> by</w:t>
      </w:r>
      <w:r w:rsidRPr="00DE39A7">
        <w:t xml:space="preserve"> Ministerial Direction.</w:t>
      </w:r>
    </w:p>
    <w:p w14:paraId="7503C072" w14:textId="77777777" w:rsidR="00C3571B" w:rsidRDefault="00C3571B">
      <w:pPr>
        <w:spacing w:after="0"/>
        <w:rPr>
          <w:rFonts w:ascii="Trebuchet MS" w:eastAsiaTheme="majorEastAsia" w:hAnsi="Trebuchet MS" w:cstheme="majorBidi"/>
          <w:caps/>
          <w:color w:val="056CB6" w:themeColor="accent3"/>
          <w:sz w:val="28"/>
          <w:szCs w:val="28"/>
        </w:rPr>
      </w:pPr>
      <w:bookmarkStart w:id="9" w:name="_Toc518237342"/>
      <w:bookmarkStart w:id="10" w:name="_Toc518237377"/>
      <w:bookmarkStart w:id="11" w:name="_Toc518237424"/>
      <w:bookmarkStart w:id="12" w:name="_Toc518237635"/>
      <w:bookmarkStart w:id="13" w:name="_Toc518237676"/>
      <w:bookmarkStart w:id="14" w:name="_Toc518238942"/>
      <w:bookmarkStart w:id="15" w:name="_Toc518238996"/>
      <w:bookmarkStart w:id="16" w:name="_Toc518247483"/>
      <w:bookmarkStart w:id="17" w:name="_Toc518251575"/>
      <w:r>
        <w:br w:type="page"/>
      </w:r>
    </w:p>
    <w:p w14:paraId="2BFABE9D" w14:textId="77777777" w:rsidR="00EF05D3" w:rsidRDefault="00EF05D3" w:rsidP="00EF05D3">
      <w:pPr>
        <w:pStyle w:val="Heading3"/>
      </w:pPr>
      <w:bookmarkStart w:id="18" w:name="_Toc522221639"/>
      <w:r w:rsidRPr="00715B36">
        <w:lastRenderedPageBreak/>
        <w:t>Purpose</w:t>
      </w:r>
      <w:bookmarkEnd w:id="9"/>
      <w:bookmarkEnd w:id="10"/>
      <w:bookmarkEnd w:id="11"/>
      <w:bookmarkEnd w:id="12"/>
      <w:bookmarkEnd w:id="13"/>
      <w:bookmarkEnd w:id="14"/>
      <w:bookmarkEnd w:id="15"/>
      <w:bookmarkEnd w:id="16"/>
      <w:bookmarkEnd w:id="17"/>
      <w:bookmarkEnd w:id="18"/>
      <w:r w:rsidRPr="00715B36">
        <w:t xml:space="preserve"> </w:t>
      </w:r>
    </w:p>
    <w:p w14:paraId="4D6F67C6" w14:textId="77777777" w:rsidR="00994E64" w:rsidRDefault="00EF05D3" w:rsidP="00EF05D3">
      <w:pPr>
        <w:pStyle w:val="Bodytext"/>
      </w:pPr>
      <w:r w:rsidRPr="00715B36">
        <w:t>ARPC’s purpose</w:t>
      </w:r>
      <w:r w:rsidR="0033347D">
        <w:t xml:space="preserve"> </w:t>
      </w:r>
      <w:r w:rsidRPr="00715B36">
        <w:t xml:space="preserve">is </w:t>
      </w:r>
      <w:r>
        <w:t xml:space="preserve">expressed </w:t>
      </w:r>
      <w:r w:rsidR="006D1B1D">
        <w:t xml:space="preserve">through </w:t>
      </w:r>
      <w:r w:rsidR="00994E64">
        <w:t>its</w:t>
      </w:r>
      <w:r>
        <w:t xml:space="preserve"> Vision and Mission</w:t>
      </w:r>
      <w:r w:rsidR="006A79E1">
        <w:t>,</w:t>
      </w:r>
      <w:r>
        <w:t xml:space="preserve"> </w:t>
      </w:r>
      <w:r w:rsidR="006D1B1D">
        <w:t xml:space="preserve">an </w:t>
      </w:r>
      <w:r w:rsidR="00994E64">
        <w:t xml:space="preserve">update of which was approved by the ARPC Board in May 2018. </w:t>
      </w:r>
    </w:p>
    <w:p w14:paraId="45ECEF7F" w14:textId="77777777" w:rsidR="00EF05D3" w:rsidRDefault="00EF05D3" w:rsidP="009B1EAE">
      <w:pPr>
        <w:pStyle w:val="Heading3"/>
      </w:pPr>
      <w:bookmarkStart w:id="19" w:name="_Toc518251576"/>
      <w:bookmarkStart w:id="20" w:name="_Toc522221640"/>
      <w:r w:rsidRPr="00BE7996">
        <w:t>Vision</w:t>
      </w:r>
      <w:bookmarkEnd w:id="19"/>
      <w:bookmarkEnd w:id="20"/>
    </w:p>
    <w:p w14:paraId="2DACA970" w14:textId="77777777" w:rsidR="00EF05D3" w:rsidRDefault="00EF05D3" w:rsidP="00EF05D3">
      <w:pPr>
        <w:pStyle w:val="Bodytext"/>
      </w:pPr>
      <w:r w:rsidRPr="00BE7996">
        <w:t>To be an effective provider of terrorism risk insurance that facilitates private participation</w:t>
      </w:r>
      <w:r>
        <w:t>,</w:t>
      </w:r>
      <w:r w:rsidRPr="00BE7996">
        <w:t xml:space="preserve"> supports national resilience and reduces losses arising from catastrophic events caused by terrorism</w:t>
      </w:r>
      <w:r w:rsidR="00C517C1">
        <w:t>.</w:t>
      </w:r>
    </w:p>
    <w:p w14:paraId="53ED0068" w14:textId="77777777" w:rsidR="00EF05D3" w:rsidRDefault="00EF05D3" w:rsidP="009B1EAE">
      <w:pPr>
        <w:pStyle w:val="Heading3"/>
      </w:pPr>
      <w:bookmarkStart w:id="21" w:name="_Toc518251577"/>
      <w:bookmarkStart w:id="22" w:name="_Toc522221641"/>
      <w:r>
        <w:t>Mission</w:t>
      </w:r>
      <w:bookmarkEnd w:id="21"/>
      <w:bookmarkEnd w:id="22"/>
    </w:p>
    <w:p w14:paraId="46358400" w14:textId="77777777" w:rsidR="00EF05D3" w:rsidRDefault="00EF05D3" w:rsidP="00EF05D3">
      <w:pPr>
        <w:pStyle w:val="BulletL1"/>
      </w:pPr>
      <w:r w:rsidRPr="00942865">
        <w:t xml:space="preserve">Provide </w:t>
      </w:r>
      <w:r w:rsidRPr="001E617D">
        <w:rPr>
          <w:b/>
        </w:rPr>
        <w:t>confidence to the mar</w:t>
      </w:r>
      <w:r w:rsidRPr="00942865">
        <w:t xml:space="preserve">ket, knowing that in the event of a </w:t>
      </w:r>
      <w:r w:rsidR="00882424">
        <w:t>terrorism incident</w:t>
      </w:r>
      <w:r w:rsidRPr="00942865">
        <w:t xml:space="preserve">, we will pay </w:t>
      </w:r>
      <w:r w:rsidR="000E2BEE">
        <w:t>claims</w:t>
      </w:r>
      <w:r w:rsidRPr="00942865">
        <w:t xml:space="preserve"> and deliver on our promise</w:t>
      </w:r>
      <w:r w:rsidR="007E5FA9">
        <w:t>s</w:t>
      </w:r>
      <w:r w:rsidR="00C517C1">
        <w:t>.</w:t>
      </w:r>
    </w:p>
    <w:p w14:paraId="0E15D543" w14:textId="77777777" w:rsidR="00EF05D3" w:rsidRDefault="00EF05D3" w:rsidP="00EF05D3">
      <w:pPr>
        <w:pStyle w:val="BulletL1"/>
      </w:pPr>
      <w:r w:rsidRPr="001E617D">
        <w:rPr>
          <w:b/>
        </w:rPr>
        <w:t>Support recovery</w:t>
      </w:r>
      <w:r w:rsidRPr="00942865">
        <w:t xml:space="preserve"> following a terrorism incident</w:t>
      </w:r>
      <w:r w:rsidR="00C517C1">
        <w:t>.</w:t>
      </w:r>
    </w:p>
    <w:p w14:paraId="76A315F9" w14:textId="77777777" w:rsidR="00EF05D3" w:rsidRDefault="00EF05D3" w:rsidP="00EF05D3">
      <w:pPr>
        <w:pStyle w:val="BulletL1"/>
      </w:pPr>
      <w:r w:rsidRPr="001E617D">
        <w:rPr>
          <w:b/>
        </w:rPr>
        <w:t>Provide links</w:t>
      </w:r>
      <w:r w:rsidRPr="00942865">
        <w:t xml:space="preserve"> between government and the private </w:t>
      </w:r>
      <w:r w:rsidR="006249E2">
        <w:t xml:space="preserve">insurance </w:t>
      </w:r>
      <w:r w:rsidRPr="00942865">
        <w:t xml:space="preserve">market </w:t>
      </w:r>
      <w:r w:rsidR="00A307DA">
        <w:t>to enhance the understanding of insurance risks associated with terrorism incidents.</w:t>
      </w:r>
    </w:p>
    <w:p w14:paraId="698ED8DB" w14:textId="77777777" w:rsidR="00EF05D3" w:rsidRDefault="00EF05D3" w:rsidP="00EF05D3">
      <w:pPr>
        <w:pStyle w:val="BulletL1"/>
      </w:pPr>
      <w:r>
        <w:t xml:space="preserve">Address a </w:t>
      </w:r>
      <w:r w:rsidRPr="001E617D">
        <w:rPr>
          <w:b/>
        </w:rPr>
        <w:t xml:space="preserve">market </w:t>
      </w:r>
      <w:r w:rsidR="00E46DF4">
        <w:t xml:space="preserve">gap </w:t>
      </w:r>
      <w:r>
        <w:t>and provide</w:t>
      </w:r>
      <w:r w:rsidR="00E46DF4">
        <w:t xml:space="preserve"> terrorism insurance </w:t>
      </w:r>
      <w:r>
        <w:t>cover where</w:t>
      </w:r>
      <w:r w:rsidR="00983641">
        <w:t xml:space="preserve"> </w:t>
      </w:r>
      <w:r w:rsidR="00E46DF4">
        <w:t>it is not available from</w:t>
      </w:r>
      <w:r>
        <w:t xml:space="preserve"> the private insurance market</w:t>
      </w:r>
      <w:r w:rsidR="00C517C1">
        <w:t>.</w:t>
      </w:r>
    </w:p>
    <w:p w14:paraId="28223CE0" w14:textId="77777777" w:rsidR="00EF05D3" w:rsidRDefault="00EF05D3" w:rsidP="00F57498">
      <w:pPr>
        <w:pStyle w:val="BulletL1"/>
        <w:spacing w:after="40"/>
      </w:pPr>
      <w:r>
        <w:t xml:space="preserve">Lead </w:t>
      </w:r>
      <w:r w:rsidRPr="00373F02">
        <w:rPr>
          <w:b/>
        </w:rPr>
        <w:t>international collaboration</w:t>
      </w:r>
      <w:r>
        <w:t xml:space="preserve"> on terrorism </w:t>
      </w:r>
      <w:r w:rsidR="006249E2">
        <w:t xml:space="preserve">risk </w:t>
      </w:r>
      <w:r>
        <w:t>insurance</w:t>
      </w:r>
      <w:r w:rsidR="00C517C1">
        <w:t>.</w:t>
      </w:r>
    </w:p>
    <w:p w14:paraId="448625C1" w14:textId="77777777" w:rsidR="00EF05D3" w:rsidRDefault="00EF05D3" w:rsidP="00EF05D3">
      <w:pPr>
        <w:pStyle w:val="Heading3"/>
      </w:pPr>
      <w:bookmarkStart w:id="23" w:name="_Toc518251578"/>
      <w:bookmarkStart w:id="24" w:name="_Toc522221642"/>
      <w:r>
        <w:t xml:space="preserve">Strategic </w:t>
      </w:r>
      <w:r w:rsidR="00377111">
        <w:t>priorities</w:t>
      </w:r>
      <w:bookmarkEnd w:id="23"/>
      <w:bookmarkEnd w:id="24"/>
    </w:p>
    <w:p w14:paraId="696348C8" w14:textId="77777777" w:rsidR="00EF05D3" w:rsidRDefault="00EF05D3" w:rsidP="00EF05D3">
      <w:pPr>
        <w:pStyle w:val="Bodytext"/>
      </w:pPr>
      <w:r>
        <w:t xml:space="preserve">ARPC’s strategic priorities based on current business </w:t>
      </w:r>
      <w:r w:rsidR="00B32550">
        <w:t>objectives include</w:t>
      </w:r>
      <w:r>
        <w:t>:</w:t>
      </w:r>
    </w:p>
    <w:p w14:paraId="20EC2189" w14:textId="77777777" w:rsidR="00C3571B" w:rsidRDefault="00BF3EA5" w:rsidP="00C3571B">
      <w:pPr>
        <w:pStyle w:val="BulletL1"/>
        <w:numPr>
          <w:ilvl w:val="0"/>
          <w:numId w:val="0"/>
        </w:numPr>
      </w:pPr>
      <w:r>
        <w:rPr>
          <w:noProof/>
          <w:lang w:val="en-AU" w:eastAsia="en-AU"/>
        </w:rPr>
        <w:drawing>
          <wp:inline distT="0" distB="0" distL="0" distR="0" wp14:anchorId="41FF99F1" wp14:editId="05C17FF5">
            <wp:extent cx="4526155" cy="2786332"/>
            <wp:effectExtent l="0" t="0" r="8255" b="0"/>
            <wp:docPr id="7" name="Picture 7" descr="ARPC's strategic priorities based on current business objectives" title="Strategic Prioritie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36075" cy="2792439"/>
                    </a:xfrm>
                    <a:prstGeom prst="rect">
                      <a:avLst/>
                    </a:prstGeom>
                    <a:noFill/>
                  </pic:spPr>
                </pic:pic>
              </a:graphicData>
            </a:graphic>
          </wp:inline>
        </w:drawing>
      </w:r>
      <w:r w:rsidR="00C3571B">
        <w:br w:type="page"/>
      </w:r>
    </w:p>
    <w:p w14:paraId="1DCF486F" w14:textId="77777777" w:rsidR="0074172F" w:rsidRDefault="00986D2E" w:rsidP="0074172F">
      <w:pPr>
        <w:pStyle w:val="Heading3"/>
      </w:pPr>
      <w:bookmarkStart w:id="25" w:name="_Toc522221643"/>
      <w:r>
        <w:lastRenderedPageBreak/>
        <w:t>K</w:t>
      </w:r>
      <w:r w:rsidR="008C5684">
        <w:t>ey performance areas</w:t>
      </w:r>
      <w:bookmarkEnd w:id="25"/>
    </w:p>
    <w:p w14:paraId="341A7EA0" w14:textId="77777777" w:rsidR="00983641" w:rsidRPr="00727BF8" w:rsidRDefault="00983641" w:rsidP="00983641">
      <w:pPr>
        <w:pStyle w:val="Bodytext"/>
      </w:pPr>
      <w:r w:rsidRPr="00727BF8">
        <w:t xml:space="preserve">The </w:t>
      </w:r>
      <w:r>
        <w:t>key</w:t>
      </w:r>
      <w:r w:rsidR="00BA6A98" w:rsidRPr="00BA6A98">
        <w:t xml:space="preserve"> performance areas</w:t>
      </w:r>
      <w:r w:rsidR="004C6825">
        <w:t xml:space="preserve"> of</w:t>
      </w:r>
      <w:r w:rsidRPr="00727BF8">
        <w:t xml:space="preserve"> ARPC to </w:t>
      </w:r>
      <w:r w:rsidR="00AD3CF5" w:rsidRPr="00AD3CF5">
        <w:t>measure delivery of ARPC’s strategic priorities</w:t>
      </w:r>
      <w:r w:rsidR="00B53745">
        <w:t xml:space="preserve"> which</w:t>
      </w:r>
      <w:r w:rsidR="00AD3CF5" w:rsidRPr="00AD3CF5">
        <w:t xml:space="preserve"> </w:t>
      </w:r>
      <w:r w:rsidRPr="00727BF8">
        <w:t xml:space="preserve">support </w:t>
      </w:r>
      <w:r w:rsidR="00D03528">
        <w:t>the</w:t>
      </w:r>
      <w:r w:rsidRPr="00727BF8">
        <w:t xml:space="preserve"> functions of corporation </w:t>
      </w:r>
      <w:r w:rsidR="00F7534E">
        <w:t>(as</w:t>
      </w:r>
      <w:r w:rsidR="006D2939">
        <w:t xml:space="preserve"> outlined in Section 1,</w:t>
      </w:r>
      <w:r w:rsidR="00F7534E">
        <w:t xml:space="preserve"> </w:t>
      </w:r>
      <w:r w:rsidR="00F7534E" w:rsidRPr="006D2939">
        <w:rPr>
          <w:b/>
        </w:rPr>
        <w:t>Executive Summary</w:t>
      </w:r>
      <w:r w:rsidR="00F7534E">
        <w:t xml:space="preserve">) </w:t>
      </w:r>
      <w:r w:rsidR="00D63D02">
        <w:t>ar</w:t>
      </w:r>
      <w:r w:rsidR="00D63D02" w:rsidRPr="00727BF8">
        <w:t>e</w:t>
      </w:r>
      <w:r w:rsidRPr="00727BF8">
        <w:t>:</w:t>
      </w:r>
    </w:p>
    <w:p w14:paraId="777891B8" w14:textId="77777777" w:rsidR="00983641" w:rsidRPr="00914806" w:rsidRDefault="00983641" w:rsidP="00983641">
      <w:pPr>
        <w:pStyle w:val="BulletL1"/>
      </w:pPr>
      <w:r w:rsidRPr="00914806">
        <w:t>to provide reinsurance for eligible terrorism losses;</w:t>
      </w:r>
    </w:p>
    <w:p w14:paraId="677B38A0" w14:textId="77777777" w:rsidR="00983641" w:rsidRPr="00914806" w:rsidRDefault="00983641" w:rsidP="00983641">
      <w:pPr>
        <w:pStyle w:val="BulletL1"/>
      </w:pPr>
      <w:r w:rsidRPr="00914806">
        <w:t>to encourage private sector participation through the retrocession program;</w:t>
      </w:r>
    </w:p>
    <w:p w14:paraId="7D384AD5" w14:textId="77777777" w:rsidR="00983641" w:rsidRPr="00914806" w:rsidRDefault="00983641" w:rsidP="00983641">
      <w:pPr>
        <w:pStyle w:val="BulletL1"/>
      </w:pPr>
      <w:r w:rsidRPr="00914806">
        <w:t>to compensate the Government; and</w:t>
      </w:r>
    </w:p>
    <w:p w14:paraId="739BBF1E" w14:textId="77777777" w:rsidR="00983641" w:rsidRPr="00914806" w:rsidRDefault="00983641" w:rsidP="00983641">
      <w:pPr>
        <w:pStyle w:val="BulletL1"/>
      </w:pPr>
      <w:r w:rsidRPr="00914806">
        <w:t xml:space="preserve">to maintain financial sustainability and </w:t>
      </w:r>
      <w:proofErr w:type="spellStart"/>
      <w:r w:rsidRPr="00914806">
        <w:t>organisational</w:t>
      </w:r>
      <w:proofErr w:type="spellEnd"/>
      <w:r w:rsidRPr="00914806">
        <w:t xml:space="preserve"> resilience.</w:t>
      </w:r>
    </w:p>
    <w:p w14:paraId="5449CC88" w14:textId="77777777" w:rsidR="00517F54" w:rsidRDefault="00517F54" w:rsidP="00DC5455">
      <w:pPr>
        <w:pStyle w:val="ARPCBodyCopy"/>
        <w:rPr>
          <w:sz w:val="21"/>
          <w:szCs w:val="21"/>
        </w:rPr>
      </w:pPr>
    </w:p>
    <w:p w14:paraId="38FFD7E9" w14:textId="7870AF58" w:rsidR="004605E1" w:rsidRDefault="004605E1" w:rsidP="00DC5455">
      <w:pPr>
        <w:pStyle w:val="ARPCBodyCopy"/>
        <w:rPr>
          <w:sz w:val="21"/>
          <w:szCs w:val="21"/>
        </w:rPr>
      </w:pPr>
      <w:r>
        <w:rPr>
          <w:sz w:val="21"/>
          <w:szCs w:val="21"/>
        </w:rPr>
        <w:t>To</w:t>
      </w:r>
      <w:r w:rsidR="00265002">
        <w:rPr>
          <w:sz w:val="21"/>
          <w:szCs w:val="21"/>
        </w:rPr>
        <w:t>wards</w:t>
      </w:r>
      <w:r>
        <w:rPr>
          <w:sz w:val="21"/>
          <w:szCs w:val="21"/>
        </w:rPr>
        <w:t xml:space="preserve"> achiev</w:t>
      </w:r>
      <w:r w:rsidR="00265002">
        <w:rPr>
          <w:sz w:val="21"/>
          <w:szCs w:val="21"/>
        </w:rPr>
        <w:t>ing its</w:t>
      </w:r>
      <w:r>
        <w:rPr>
          <w:sz w:val="21"/>
          <w:szCs w:val="21"/>
        </w:rPr>
        <w:t xml:space="preserve"> objectives, </w:t>
      </w:r>
      <w:r w:rsidR="00265002">
        <w:rPr>
          <w:sz w:val="21"/>
          <w:szCs w:val="21"/>
        </w:rPr>
        <w:t>ARPC</w:t>
      </w:r>
      <w:r>
        <w:rPr>
          <w:sz w:val="21"/>
          <w:szCs w:val="21"/>
        </w:rPr>
        <w:t xml:space="preserve"> </w:t>
      </w:r>
      <w:r w:rsidR="00265002">
        <w:rPr>
          <w:sz w:val="21"/>
          <w:szCs w:val="21"/>
        </w:rPr>
        <w:t>monitors</w:t>
      </w:r>
      <w:r>
        <w:rPr>
          <w:sz w:val="21"/>
          <w:szCs w:val="21"/>
        </w:rPr>
        <w:t xml:space="preserve"> </w:t>
      </w:r>
      <w:r w:rsidR="00DC5455">
        <w:rPr>
          <w:sz w:val="21"/>
          <w:szCs w:val="21"/>
        </w:rPr>
        <w:t>several</w:t>
      </w:r>
      <w:r>
        <w:rPr>
          <w:sz w:val="21"/>
          <w:szCs w:val="21"/>
        </w:rPr>
        <w:t xml:space="preserve"> key metrics </w:t>
      </w:r>
      <w:r w:rsidR="00265002">
        <w:rPr>
          <w:sz w:val="21"/>
          <w:szCs w:val="21"/>
        </w:rPr>
        <w:t xml:space="preserve">covering </w:t>
      </w:r>
      <w:r>
        <w:rPr>
          <w:sz w:val="21"/>
          <w:szCs w:val="21"/>
        </w:rPr>
        <w:t xml:space="preserve">its four key </w:t>
      </w:r>
      <w:r w:rsidR="00BA6A98">
        <w:rPr>
          <w:sz w:val="21"/>
          <w:szCs w:val="21"/>
        </w:rPr>
        <w:t>performance areas</w:t>
      </w:r>
      <w:r>
        <w:rPr>
          <w:sz w:val="21"/>
          <w:szCs w:val="21"/>
        </w:rPr>
        <w:t xml:space="preserve">. </w:t>
      </w:r>
      <w:r w:rsidRPr="0083476E">
        <w:rPr>
          <w:i/>
          <w:sz w:val="21"/>
          <w:szCs w:val="21"/>
        </w:rPr>
        <w:t>Figure 2.1</w:t>
      </w:r>
      <w:r>
        <w:rPr>
          <w:sz w:val="21"/>
          <w:szCs w:val="21"/>
        </w:rPr>
        <w:t xml:space="preserve"> illustrates these as at June 2018.</w:t>
      </w:r>
    </w:p>
    <w:p w14:paraId="1603BA55" w14:textId="77777777" w:rsidR="00517F54" w:rsidRDefault="00517F54" w:rsidP="00DC5455">
      <w:pPr>
        <w:pStyle w:val="ARPCBodyCopy"/>
        <w:rPr>
          <w:sz w:val="21"/>
          <w:szCs w:val="21"/>
        </w:rPr>
      </w:pPr>
    </w:p>
    <w:p w14:paraId="4A0AE2C8" w14:textId="77777777" w:rsidR="00090F16" w:rsidRDefault="00090F16" w:rsidP="00090F16">
      <w:pPr>
        <w:pStyle w:val="Bodytext"/>
        <w:rPr>
          <w:rStyle w:val="Figure"/>
        </w:rPr>
      </w:pPr>
      <w:r w:rsidRPr="00DF44C4">
        <w:rPr>
          <w:rStyle w:val="Figure"/>
        </w:rPr>
        <w:t xml:space="preserve">Figure </w:t>
      </w:r>
      <w:r>
        <w:rPr>
          <w:rStyle w:val="Figure"/>
        </w:rPr>
        <w:t>2</w:t>
      </w:r>
      <w:r w:rsidRPr="00DF44C4">
        <w:rPr>
          <w:rStyle w:val="Figure"/>
        </w:rPr>
        <w:t>.1:</w:t>
      </w:r>
      <w:r w:rsidRPr="00FC6A5C">
        <w:rPr>
          <w:rStyle w:val="Figure"/>
        </w:rPr>
        <w:t xml:space="preserve"> </w:t>
      </w:r>
      <w:r>
        <w:rPr>
          <w:rStyle w:val="Figure"/>
        </w:rPr>
        <w:t xml:space="preserve">ARPC </w:t>
      </w:r>
      <w:r w:rsidR="00630C4E">
        <w:rPr>
          <w:rStyle w:val="Figure"/>
        </w:rPr>
        <w:t>snapshot</w:t>
      </w:r>
      <w:r w:rsidR="00A86E93">
        <w:rPr>
          <w:rStyle w:val="Figure"/>
        </w:rPr>
        <w:t xml:space="preserve"> 2017-18*</w:t>
      </w:r>
    </w:p>
    <w:p w14:paraId="1EAAE408" w14:textId="77777777" w:rsidR="00A86E93" w:rsidRDefault="00C3571B" w:rsidP="00C3571B">
      <w:pPr>
        <w:pStyle w:val="Bodytext"/>
        <w:jc w:val="center"/>
        <w:rPr>
          <w:rStyle w:val="Figure"/>
        </w:rPr>
      </w:pPr>
      <w:r>
        <w:rPr>
          <w:rStyle w:val="Figure"/>
          <w:noProof/>
          <w:lang w:eastAsia="en-AU"/>
        </w:rPr>
        <w:drawing>
          <wp:inline distT="0" distB="0" distL="0" distR="0" wp14:anchorId="6B567F77" wp14:editId="7064F189">
            <wp:extent cx="5503653" cy="3229798"/>
            <wp:effectExtent l="0" t="0" r="1905" b="8890"/>
            <wp:docPr id="10" name="Picture 10" descr="ARPC snapshot 2017-18" title="Figure 2.1 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l="3589" r="2452"/>
                    <a:stretch/>
                  </pic:blipFill>
                  <pic:spPr bwMode="auto">
                    <a:xfrm>
                      <a:off x="0" y="0"/>
                      <a:ext cx="5525515" cy="3242628"/>
                    </a:xfrm>
                    <a:prstGeom prst="rect">
                      <a:avLst/>
                    </a:prstGeom>
                    <a:noFill/>
                    <a:ln>
                      <a:noFill/>
                    </a:ln>
                    <a:extLst>
                      <a:ext uri="{53640926-AAD7-44D8-BBD7-CCE9431645EC}">
                        <a14:shadowObscured xmlns:a14="http://schemas.microsoft.com/office/drawing/2010/main"/>
                      </a:ext>
                    </a:extLst>
                  </pic:spPr>
                </pic:pic>
              </a:graphicData>
            </a:graphic>
          </wp:inline>
        </w:drawing>
      </w:r>
    </w:p>
    <w:p w14:paraId="1CFAC46D" w14:textId="77777777" w:rsidR="00DE7D95" w:rsidRPr="00B57443" w:rsidRDefault="00A86E93" w:rsidP="00BF3EA5">
      <w:pPr>
        <w:pStyle w:val="Bodytext"/>
        <w:jc w:val="right"/>
        <w:rPr>
          <w:b/>
          <w:color w:val="184C8D"/>
          <w:sz w:val="18"/>
          <w:szCs w:val="18"/>
        </w:rPr>
      </w:pPr>
      <w:r w:rsidRPr="004434E2">
        <w:rPr>
          <w:rStyle w:val="Figure"/>
          <w:sz w:val="18"/>
          <w:szCs w:val="18"/>
        </w:rPr>
        <w:t xml:space="preserve">*as at 30 June 2018 </w:t>
      </w:r>
    </w:p>
    <w:p w14:paraId="3304545C" w14:textId="77777777" w:rsidR="00D40D0E" w:rsidRDefault="00D40D0E" w:rsidP="00E34CEF">
      <w:pPr>
        <w:pStyle w:val="Heading3"/>
      </w:pPr>
      <w:bookmarkStart w:id="26" w:name="_Toc518251580"/>
      <w:bookmarkStart w:id="27" w:name="_Toc522221644"/>
    </w:p>
    <w:p w14:paraId="520FE1A7" w14:textId="77777777" w:rsidR="00D40D0E" w:rsidRDefault="00D40D0E" w:rsidP="00E34CEF">
      <w:pPr>
        <w:pStyle w:val="Heading3"/>
      </w:pPr>
    </w:p>
    <w:p w14:paraId="5B4E41F1" w14:textId="75E80362" w:rsidR="00C26566" w:rsidRPr="004F261F" w:rsidRDefault="004F261F" w:rsidP="00E34CEF">
      <w:pPr>
        <w:pStyle w:val="Heading3"/>
      </w:pPr>
      <w:r>
        <w:lastRenderedPageBreak/>
        <w:t>S</w:t>
      </w:r>
      <w:r w:rsidRPr="004F261F">
        <w:t>cheme structure</w:t>
      </w:r>
      <w:bookmarkEnd w:id="26"/>
      <w:bookmarkEnd w:id="27"/>
    </w:p>
    <w:p w14:paraId="6444AB2B" w14:textId="77777777" w:rsidR="00C26566" w:rsidRDefault="00C26566" w:rsidP="00C26566">
      <w:r>
        <w:t xml:space="preserve">ARPC </w:t>
      </w:r>
      <w:r w:rsidR="00265002">
        <w:t>provides</w:t>
      </w:r>
      <w:r>
        <w:t xml:space="preserve"> significant reinsurance capacity to insurer clients with $13.4 billion reinsurance cover available in the event of a DTI. Total capacity comprises: insurer or industry retentions; ARPC net assets; retrocession reinsurance (private cover </w:t>
      </w:r>
      <w:r w:rsidR="00910772">
        <w:t xml:space="preserve">ARPC has purchased </w:t>
      </w:r>
      <w:r>
        <w:t>from reinsurers) and the Commonwealth guarantee. In the 2018 calendar year, ARPC purchased a $3.065 billion retrocession reinsurance program</w:t>
      </w:r>
      <w:r w:rsidR="00F96AB0">
        <w:t>. Although the maximum amount of funds available to pay claims is $13.4 billion, the insurers who have cover with ARPC in total insure</w:t>
      </w:r>
      <w:r>
        <w:t xml:space="preserve"> </w:t>
      </w:r>
      <w:r w:rsidRPr="000024F0">
        <w:t>approximately $3.6 trillion in</w:t>
      </w:r>
      <w:r>
        <w:t xml:space="preserve"> Australian-based commercial property sector assets by </w:t>
      </w:r>
      <w:r w:rsidR="0028731A">
        <w:t xml:space="preserve">sum </w:t>
      </w:r>
      <w:r>
        <w:t>insured value, up from $3.4 trillion in 2017.</w:t>
      </w:r>
      <w:r w:rsidR="00870354">
        <w:t xml:space="preserve"> </w:t>
      </w:r>
    </w:p>
    <w:p w14:paraId="39676AB0" w14:textId="66ED254B" w:rsidR="00C26566" w:rsidRDefault="00C26566" w:rsidP="00C26566">
      <w:r>
        <w:t>ARPC also increase</w:t>
      </w:r>
      <w:r w:rsidR="00C21D5B">
        <w:t>d</w:t>
      </w:r>
      <w:r>
        <w:t xml:space="preserve"> private </w:t>
      </w:r>
      <w:r w:rsidR="00910772">
        <w:t xml:space="preserve">reinsurance </w:t>
      </w:r>
      <w:r>
        <w:t>sector participation in the scheme by lowering the retrocession deductible from $350 million to $285 million</w:t>
      </w:r>
      <w:r w:rsidR="00442D95">
        <w:t>. This meant</w:t>
      </w:r>
      <w:r w:rsidR="00AA7878">
        <w:t xml:space="preserve"> </w:t>
      </w:r>
      <w:r w:rsidR="00EF7B0C">
        <w:t>a greater level of capacity was able to be provided by the reinsurance market</w:t>
      </w:r>
      <w:r w:rsidR="00D254CB">
        <w:t>.</w:t>
      </w:r>
      <w:r w:rsidR="00EF7B0C">
        <w:t xml:space="preserve"> </w:t>
      </w:r>
    </w:p>
    <w:p w14:paraId="32BC9A72" w14:textId="77777777" w:rsidR="00595058" w:rsidRDefault="00595058" w:rsidP="00C26566"/>
    <w:p w14:paraId="4F74A227" w14:textId="77777777" w:rsidR="00C26566" w:rsidRPr="00C26566" w:rsidRDefault="00C26566" w:rsidP="00C26566">
      <w:pPr>
        <w:pStyle w:val="Bodytext"/>
        <w:rPr>
          <w:rStyle w:val="Figure"/>
        </w:rPr>
      </w:pPr>
      <w:bookmarkStart w:id="28" w:name="_Toc516064086"/>
      <w:r w:rsidRPr="00C26566">
        <w:rPr>
          <w:rStyle w:val="Figure"/>
        </w:rPr>
        <w:t xml:space="preserve">Figure </w:t>
      </w:r>
      <w:r w:rsidR="00B115E7">
        <w:rPr>
          <w:rStyle w:val="Figure"/>
        </w:rPr>
        <w:t>2</w:t>
      </w:r>
      <w:r w:rsidRPr="00C26566">
        <w:rPr>
          <w:rStyle w:val="Figure"/>
        </w:rPr>
        <w:t>.</w:t>
      </w:r>
      <w:r w:rsidR="00B115E7">
        <w:rPr>
          <w:rStyle w:val="Figure"/>
        </w:rPr>
        <w:t>2</w:t>
      </w:r>
      <w:r w:rsidRPr="00C26566">
        <w:rPr>
          <w:rStyle w:val="Figure"/>
        </w:rPr>
        <w:t xml:space="preserve">: ARPC Scheme Structure </w:t>
      </w:r>
      <w:bookmarkEnd w:id="28"/>
    </w:p>
    <w:p w14:paraId="487D7F32" w14:textId="77777777" w:rsidR="00C26566" w:rsidRDefault="00C26566" w:rsidP="00C26566">
      <w:pPr>
        <w:spacing w:after="0"/>
      </w:pPr>
      <w:r w:rsidRPr="002F3B7E">
        <w:t>This graphic illustrates the funding layers of the ARPC scheme structure.</w:t>
      </w:r>
      <w:r>
        <w:t xml:space="preserve"> </w:t>
      </w:r>
    </w:p>
    <w:p w14:paraId="11857084" w14:textId="77777777" w:rsidR="00EF05D3" w:rsidRDefault="00C3571B" w:rsidP="003043C5">
      <w:pPr>
        <w:spacing w:after="0"/>
        <w:rPr>
          <w:rFonts w:ascii="Times New Roman" w:hAnsi="Times New Roman" w:cs="Times New Roman"/>
          <w:sz w:val="24"/>
          <w:lang w:eastAsia="en-AU"/>
        </w:rPr>
      </w:pPr>
      <w:r>
        <w:rPr>
          <w:rFonts w:ascii="Times New Roman" w:hAnsi="Times New Roman" w:cs="Times New Roman"/>
          <w:noProof/>
          <w:sz w:val="24"/>
          <w:lang w:eastAsia="en-AU"/>
        </w:rPr>
        <w:drawing>
          <wp:inline distT="0" distB="0" distL="0" distR="0" wp14:anchorId="6B9317F7" wp14:editId="050B6109">
            <wp:extent cx="5757689" cy="4429496"/>
            <wp:effectExtent l="0" t="0" r="0" b="9525"/>
            <wp:docPr id="15" name="Picture 15" descr="ARPC Scheme Structure" title="Figure 2.2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unding layers Aug18.jpg"/>
                    <pic:cNvPicPr/>
                  </pic:nvPicPr>
                  <pic:blipFill rotWithShape="1">
                    <a:blip r:embed="rId23"/>
                    <a:srcRect l="3378" t="4711" r="5869" b="3979"/>
                    <a:stretch/>
                  </pic:blipFill>
                  <pic:spPr bwMode="auto">
                    <a:xfrm>
                      <a:off x="0" y="0"/>
                      <a:ext cx="5764217" cy="4434518"/>
                    </a:xfrm>
                    <a:prstGeom prst="rect">
                      <a:avLst/>
                    </a:prstGeom>
                    <a:ln>
                      <a:noFill/>
                    </a:ln>
                    <a:extLst>
                      <a:ext uri="{53640926-AAD7-44D8-BBD7-CCE9431645EC}">
                        <a14:shadowObscured xmlns:a14="http://schemas.microsoft.com/office/drawing/2010/main"/>
                      </a:ext>
                    </a:extLst>
                  </pic:spPr>
                </pic:pic>
              </a:graphicData>
            </a:graphic>
          </wp:inline>
        </w:drawing>
      </w:r>
    </w:p>
    <w:p w14:paraId="473A3924" w14:textId="77777777" w:rsidR="00C3571B" w:rsidRDefault="00C3571B" w:rsidP="003043C5">
      <w:pPr>
        <w:spacing w:after="0"/>
        <w:rPr>
          <w:rFonts w:ascii="Times New Roman" w:hAnsi="Times New Roman" w:cs="Times New Roman"/>
          <w:sz w:val="24"/>
          <w:lang w:eastAsia="en-AU"/>
        </w:rPr>
      </w:pPr>
      <w:r>
        <w:rPr>
          <w:rFonts w:ascii="Times New Roman" w:hAnsi="Times New Roman" w:cs="Times New Roman"/>
          <w:sz w:val="24"/>
          <w:lang w:eastAsia="en-AU"/>
        </w:rPr>
        <w:br w:type="page"/>
      </w:r>
    </w:p>
    <w:p w14:paraId="1FAEF4F8" w14:textId="77777777" w:rsidR="00433AC7" w:rsidRDefault="00433AC7" w:rsidP="005F7837">
      <w:pPr>
        <w:pStyle w:val="Heading1"/>
      </w:pPr>
      <w:bookmarkStart w:id="29" w:name="_Toc518251581"/>
      <w:bookmarkStart w:id="30" w:name="_Toc522221645"/>
      <w:bookmarkStart w:id="31" w:name="_Toc513732534"/>
      <w:r>
        <w:rPr>
          <w:noProof/>
          <w:lang w:eastAsia="en-AU"/>
        </w:rPr>
        <w:lastRenderedPageBreak/>
        <w:drawing>
          <wp:anchor distT="0" distB="0" distL="114300" distR="114300" simplePos="0" relativeHeight="251658244" behindDoc="1" locked="0" layoutInCell="1" allowOverlap="1" wp14:anchorId="209644F4" wp14:editId="3FDFFE56">
            <wp:simplePos x="0" y="0"/>
            <wp:positionH relativeFrom="page">
              <wp:posOffset>0</wp:posOffset>
            </wp:positionH>
            <wp:positionV relativeFrom="paragraph">
              <wp:posOffset>-1733550</wp:posOffset>
            </wp:positionV>
            <wp:extent cx="7560000" cy="7531763"/>
            <wp:effectExtent l="0" t="0" r="3175" b="0"/>
            <wp:wrapNone/>
            <wp:docPr id="13" name="Picture 13" descr="Section Divider" title="Section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Page.jpg"/>
                    <pic:cNvPicPr/>
                  </pic:nvPicPr>
                  <pic:blipFill>
                    <a:blip r:embed="rId17">
                      <a:extLst>
                        <a:ext uri="{28A0092B-C50C-407E-A947-70E740481C1C}">
                          <a14:useLocalDpi xmlns:a14="http://schemas.microsoft.com/office/drawing/2010/main" val="0"/>
                        </a:ext>
                      </a:extLst>
                    </a:blip>
                    <a:stretch>
                      <a:fillRect/>
                    </a:stretch>
                  </pic:blipFill>
                  <pic:spPr>
                    <a:xfrm>
                      <a:off x="0" y="0"/>
                      <a:ext cx="7560000" cy="7531763"/>
                    </a:xfrm>
                    <a:prstGeom prst="rect">
                      <a:avLst/>
                    </a:prstGeom>
                  </pic:spPr>
                </pic:pic>
              </a:graphicData>
            </a:graphic>
            <wp14:sizeRelH relativeFrom="page">
              <wp14:pctWidth>0</wp14:pctWidth>
            </wp14:sizeRelH>
            <wp14:sizeRelV relativeFrom="page">
              <wp14:pctHeight>0</wp14:pctHeight>
            </wp14:sizeRelV>
          </wp:anchor>
        </w:drawing>
      </w:r>
      <w:r w:rsidR="00833CC1">
        <w:rPr>
          <w:caps w:val="0"/>
        </w:rPr>
        <w:t>ENVIRONMENT</w:t>
      </w:r>
      <w:bookmarkEnd w:id="29"/>
      <w:bookmarkEnd w:id="30"/>
      <w:r>
        <w:br w:type="page"/>
      </w:r>
    </w:p>
    <w:p w14:paraId="15F88E3C" w14:textId="77777777" w:rsidR="00E07B09" w:rsidRPr="005F7837" w:rsidRDefault="00833CC1">
      <w:pPr>
        <w:pStyle w:val="Heading2"/>
      </w:pPr>
      <w:bookmarkStart w:id="32" w:name="_Toc516060022"/>
      <w:bookmarkStart w:id="33" w:name="_Toc516060269"/>
      <w:bookmarkStart w:id="34" w:name="_Toc516060316"/>
      <w:bookmarkStart w:id="35" w:name="_Toc516060462"/>
      <w:bookmarkStart w:id="36" w:name="_Toc516060586"/>
      <w:bookmarkStart w:id="37" w:name="_Toc516060637"/>
      <w:bookmarkStart w:id="38" w:name="_Toc516060697"/>
      <w:bookmarkStart w:id="39" w:name="_Toc516064781"/>
      <w:bookmarkStart w:id="40" w:name="_Toc516068931"/>
      <w:bookmarkStart w:id="41" w:name="_Toc516060023"/>
      <w:bookmarkStart w:id="42" w:name="_Toc516060270"/>
      <w:bookmarkStart w:id="43" w:name="_Toc516060317"/>
      <w:bookmarkStart w:id="44" w:name="_Toc516060463"/>
      <w:bookmarkStart w:id="45" w:name="_Toc516060587"/>
      <w:bookmarkStart w:id="46" w:name="_Toc516060638"/>
      <w:bookmarkStart w:id="47" w:name="_Toc516060698"/>
      <w:bookmarkStart w:id="48" w:name="_Toc516064782"/>
      <w:bookmarkStart w:id="49" w:name="_Toc516068932"/>
      <w:bookmarkStart w:id="50" w:name="_Toc516060024"/>
      <w:bookmarkStart w:id="51" w:name="_Toc516060271"/>
      <w:bookmarkStart w:id="52" w:name="_Toc516060318"/>
      <w:bookmarkStart w:id="53" w:name="_Toc516060464"/>
      <w:bookmarkStart w:id="54" w:name="_Toc516060588"/>
      <w:bookmarkStart w:id="55" w:name="_Toc516060639"/>
      <w:bookmarkStart w:id="56" w:name="_Toc516060699"/>
      <w:bookmarkStart w:id="57" w:name="_Toc516064783"/>
      <w:bookmarkStart w:id="58" w:name="_Toc516068933"/>
      <w:bookmarkStart w:id="59" w:name="_Toc516060025"/>
      <w:bookmarkStart w:id="60" w:name="_Toc516060272"/>
      <w:bookmarkStart w:id="61" w:name="_Toc516060319"/>
      <w:bookmarkStart w:id="62" w:name="_Toc516060465"/>
      <w:bookmarkStart w:id="63" w:name="_Toc516060589"/>
      <w:bookmarkStart w:id="64" w:name="_Toc516060640"/>
      <w:bookmarkStart w:id="65" w:name="_Toc516060700"/>
      <w:bookmarkStart w:id="66" w:name="_Toc516064784"/>
      <w:bookmarkStart w:id="67" w:name="_Toc516068934"/>
      <w:bookmarkStart w:id="68" w:name="_Toc516060026"/>
      <w:bookmarkStart w:id="69" w:name="_Toc516060273"/>
      <w:bookmarkStart w:id="70" w:name="_Toc516060320"/>
      <w:bookmarkStart w:id="71" w:name="_Toc516060466"/>
      <w:bookmarkStart w:id="72" w:name="_Toc516060590"/>
      <w:bookmarkStart w:id="73" w:name="_Toc516060641"/>
      <w:bookmarkStart w:id="74" w:name="_Toc516060701"/>
      <w:bookmarkStart w:id="75" w:name="_Toc516064785"/>
      <w:bookmarkStart w:id="76" w:name="_Toc516068935"/>
      <w:bookmarkStart w:id="77" w:name="_Toc516060027"/>
      <w:bookmarkStart w:id="78" w:name="_Toc516060274"/>
      <w:bookmarkStart w:id="79" w:name="_Toc516060321"/>
      <w:bookmarkStart w:id="80" w:name="_Toc516060467"/>
      <w:bookmarkStart w:id="81" w:name="_Toc516060591"/>
      <w:bookmarkStart w:id="82" w:name="_Toc516060642"/>
      <w:bookmarkStart w:id="83" w:name="_Toc516060702"/>
      <w:bookmarkStart w:id="84" w:name="_Toc516064786"/>
      <w:bookmarkStart w:id="85" w:name="_Toc516068936"/>
      <w:bookmarkStart w:id="86" w:name="_Toc516060028"/>
      <w:bookmarkStart w:id="87" w:name="_Toc516060275"/>
      <w:bookmarkStart w:id="88" w:name="_Toc516060322"/>
      <w:bookmarkStart w:id="89" w:name="_Toc516060468"/>
      <w:bookmarkStart w:id="90" w:name="_Toc516060592"/>
      <w:bookmarkStart w:id="91" w:name="_Toc516060643"/>
      <w:bookmarkStart w:id="92" w:name="_Toc516060703"/>
      <w:bookmarkStart w:id="93" w:name="_Toc516064787"/>
      <w:bookmarkStart w:id="94" w:name="_Toc516068937"/>
      <w:bookmarkStart w:id="95" w:name="_Toc516060029"/>
      <w:bookmarkStart w:id="96" w:name="_Toc516060276"/>
      <w:bookmarkStart w:id="97" w:name="_Toc516060323"/>
      <w:bookmarkStart w:id="98" w:name="_Toc516060469"/>
      <w:bookmarkStart w:id="99" w:name="_Toc516060593"/>
      <w:bookmarkStart w:id="100" w:name="_Toc516060644"/>
      <w:bookmarkStart w:id="101" w:name="_Toc516060704"/>
      <w:bookmarkStart w:id="102" w:name="_Toc516064788"/>
      <w:bookmarkStart w:id="103" w:name="_Toc516068938"/>
      <w:bookmarkStart w:id="104" w:name="_Toc516060030"/>
      <w:bookmarkStart w:id="105" w:name="_Toc516060277"/>
      <w:bookmarkStart w:id="106" w:name="_Toc516060324"/>
      <w:bookmarkStart w:id="107" w:name="_Toc516060470"/>
      <w:bookmarkStart w:id="108" w:name="_Toc516060594"/>
      <w:bookmarkStart w:id="109" w:name="_Toc516060645"/>
      <w:bookmarkStart w:id="110" w:name="_Toc516060705"/>
      <w:bookmarkStart w:id="111" w:name="_Toc516064789"/>
      <w:bookmarkStart w:id="112" w:name="_Toc516068939"/>
      <w:bookmarkStart w:id="113" w:name="_Toc516060031"/>
      <w:bookmarkStart w:id="114" w:name="_Toc516060278"/>
      <w:bookmarkStart w:id="115" w:name="_Toc516060325"/>
      <w:bookmarkStart w:id="116" w:name="_Toc516060471"/>
      <w:bookmarkStart w:id="117" w:name="_Toc516060595"/>
      <w:bookmarkStart w:id="118" w:name="_Toc516060646"/>
      <w:bookmarkStart w:id="119" w:name="_Toc516060706"/>
      <w:bookmarkStart w:id="120" w:name="_Toc516064790"/>
      <w:bookmarkStart w:id="121" w:name="_Toc516068940"/>
      <w:bookmarkStart w:id="122" w:name="_Toc516060032"/>
      <w:bookmarkStart w:id="123" w:name="_Toc516060279"/>
      <w:bookmarkStart w:id="124" w:name="_Toc516060326"/>
      <w:bookmarkStart w:id="125" w:name="_Toc516060472"/>
      <w:bookmarkStart w:id="126" w:name="_Toc516060596"/>
      <w:bookmarkStart w:id="127" w:name="_Toc516060647"/>
      <w:bookmarkStart w:id="128" w:name="_Toc516060707"/>
      <w:bookmarkStart w:id="129" w:name="_Toc516064791"/>
      <w:bookmarkStart w:id="130" w:name="_Toc516068941"/>
      <w:bookmarkStart w:id="131" w:name="_Toc516060033"/>
      <w:bookmarkStart w:id="132" w:name="_Toc516060280"/>
      <w:bookmarkStart w:id="133" w:name="_Toc516060327"/>
      <w:bookmarkStart w:id="134" w:name="_Toc516060473"/>
      <w:bookmarkStart w:id="135" w:name="_Toc516060597"/>
      <w:bookmarkStart w:id="136" w:name="_Toc516060648"/>
      <w:bookmarkStart w:id="137" w:name="_Toc516060708"/>
      <w:bookmarkStart w:id="138" w:name="_Toc516064792"/>
      <w:bookmarkStart w:id="139" w:name="_Toc516068942"/>
      <w:bookmarkStart w:id="140" w:name="_Toc516060034"/>
      <w:bookmarkStart w:id="141" w:name="_Toc516060281"/>
      <w:bookmarkStart w:id="142" w:name="_Toc516060328"/>
      <w:bookmarkStart w:id="143" w:name="_Toc516060474"/>
      <w:bookmarkStart w:id="144" w:name="_Toc516060598"/>
      <w:bookmarkStart w:id="145" w:name="_Toc516060649"/>
      <w:bookmarkStart w:id="146" w:name="_Toc516060709"/>
      <w:bookmarkStart w:id="147" w:name="_Toc516064793"/>
      <w:bookmarkStart w:id="148" w:name="_Toc516068943"/>
      <w:bookmarkStart w:id="149" w:name="_Toc516060035"/>
      <w:bookmarkStart w:id="150" w:name="_Toc516060282"/>
      <w:bookmarkStart w:id="151" w:name="_Toc516060329"/>
      <w:bookmarkStart w:id="152" w:name="_Toc516060475"/>
      <w:bookmarkStart w:id="153" w:name="_Toc516060599"/>
      <w:bookmarkStart w:id="154" w:name="_Toc516060650"/>
      <w:bookmarkStart w:id="155" w:name="_Toc516060710"/>
      <w:bookmarkStart w:id="156" w:name="_Toc516064794"/>
      <w:bookmarkStart w:id="157" w:name="_Toc516068944"/>
      <w:bookmarkStart w:id="158" w:name="_Toc516060036"/>
      <w:bookmarkStart w:id="159" w:name="_Toc516060283"/>
      <w:bookmarkStart w:id="160" w:name="_Toc516060330"/>
      <w:bookmarkStart w:id="161" w:name="_Toc516060476"/>
      <w:bookmarkStart w:id="162" w:name="_Toc516060600"/>
      <w:bookmarkStart w:id="163" w:name="_Toc516060651"/>
      <w:bookmarkStart w:id="164" w:name="_Toc516060711"/>
      <w:bookmarkStart w:id="165" w:name="_Toc516064795"/>
      <w:bookmarkStart w:id="166" w:name="_Toc516068945"/>
      <w:bookmarkStart w:id="167" w:name="_Toc516060037"/>
      <w:bookmarkStart w:id="168" w:name="_Toc516060284"/>
      <w:bookmarkStart w:id="169" w:name="_Toc516060331"/>
      <w:bookmarkStart w:id="170" w:name="_Toc516060477"/>
      <w:bookmarkStart w:id="171" w:name="_Toc516060601"/>
      <w:bookmarkStart w:id="172" w:name="_Toc516060652"/>
      <w:bookmarkStart w:id="173" w:name="_Toc516060712"/>
      <w:bookmarkStart w:id="174" w:name="_Toc516064796"/>
      <w:bookmarkStart w:id="175" w:name="_Toc516068946"/>
      <w:bookmarkStart w:id="176" w:name="_Toc516060038"/>
      <w:bookmarkStart w:id="177" w:name="_Toc516060285"/>
      <w:bookmarkStart w:id="178" w:name="_Toc516060332"/>
      <w:bookmarkStart w:id="179" w:name="_Toc516060478"/>
      <w:bookmarkStart w:id="180" w:name="_Toc516060602"/>
      <w:bookmarkStart w:id="181" w:name="_Toc516060653"/>
      <w:bookmarkStart w:id="182" w:name="_Toc516060713"/>
      <w:bookmarkStart w:id="183" w:name="_Toc516064797"/>
      <w:bookmarkStart w:id="184" w:name="_Toc516068947"/>
      <w:bookmarkStart w:id="185" w:name="_Toc516060039"/>
      <w:bookmarkStart w:id="186" w:name="_Toc516060286"/>
      <w:bookmarkStart w:id="187" w:name="_Toc516060333"/>
      <w:bookmarkStart w:id="188" w:name="_Toc516060479"/>
      <w:bookmarkStart w:id="189" w:name="_Toc516060603"/>
      <w:bookmarkStart w:id="190" w:name="_Toc516060654"/>
      <w:bookmarkStart w:id="191" w:name="_Toc516060714"/>
      <w:bookmarkStart w:id="192" w:name="_Toc516064798"/>
      <w:bookmarkStart w:id="193" w:name="_Toc516068948"/>
      <w:bookmarkStart w:id="194" w:name="_Toc516060040"/>
      <w:bookmarkStart w:id="195" w:name="_Toc516060287"/>
      <w:bookmarkStart w:id="196" w:name="_Toc516060334"/>
      <w:bookmarkStart w:id="197" w:name="_Toc516060480"/>
      <w:bookmarkStart w:id="198" w:name="_Toc516060604"/>
      <w:bookmarkStart w:id="199" w:name="_Toc516060655"/>
      <w:bookmarkStart w:id="200" w:name="_Toc516060715"/>
      <w:bookmarkStart w:id="201" w:name="_Toc516064799"/>
      <w:bookmarkStart w:id="202" w:name="_Toc516068949"/>
      <w:bookmarkStart w:id="203" w:name="_Toc516060041"/>
      <w:bookmarkStart w:id="204" w:name="_Toc516060288"/>
      <w:bookmarkStart w:id="205" w:name="_Toc516060335"/>
      <w:bookmarkStart w:id="206" w:name="_Toc516060481"/>
      <w:bookmarkStart w:id="207" w:name="_Toc516060605"/>
      <w:bookmarkStart w:id="208" w:name="_Toc516060656"/>
      <w:bookmarkStart w:id="209" w:name="_Toc516060716"/>
      <w:bookmarkStart w:id="210" w:name="_Toc516064800"/>
      <w:bookmarkStart w:id="211" w:name="_Toc516068950"/>
      <w:bookmarkStart w:id="212" w:name="_Toc513214486"/>
      <w:bookmarkStart w:id="213" w:name="_Toc513559341"/>
      <w:bookmarkStart w:id="214" w:name="_Toc513722796"/>
      <w:bookmarkStart w:id="215" w:name="_Toc513722875"/>
      <w:bookmarkStart w:id="216" w:name="_Toc513724231"/>
      <w:bookmarkStart w:id="217" w:name="_Toc513732537"/>
      <w:bookmarkStart w:id="218" w:name="_Toc516064801"/>
      <w:bookmarkStart w:id="219" w:name="_Hlk513127850"/>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r>
        <w:rPr>
          <w:caps w:val="0"/>
        </w:rPr>
        <w:lastRenderedPageBreak/>
        <w:t>E</w:t>
      </w:r>
      <w:r w:rsidRPr="00BD417E">
        <w:rPr>
          <w:caps w:val="0"/>
        </w:rPr>
        <w:t>NVIRONMENT</w:t>
      </w:r>
      <w:bookmarkEnd w:id="212"/>
      <w:bookmarkEnd w:id="213"/>
      <w:bookmarkEnd w:id="214"/>
      <w:bookmarkEnd w:id="215"/>
      <w:bookmarkEnd w:id="216"/>
      <w:bookmarkEnd w:id="217"/>
      <w:bookmarkEnd w:id="218"/>
    </w:p>
    <w:bookmarkEnd w:id="219"/>
    <w:p w14:paraId="7B7559DA" w14:textId="77777777" w:rsidR="00E07B09" w:rsidRDefault="00E07B09" w:rsidP="005F7837">
      <w:pPr>
        <w:pStyle w:val="Bodytext"/>
        <w:rPr>
          <w:i/>
        </w:rPr>
      </w:pPr>
      <w:r w:rsidRPr="004D13CB">
        <w:t>ARPC operates in a</w:t>
      </w:r>
      <w:r w:rsidR="00C84B1E">
        <w:t xml:space="preserve"> </w:t>
      </w:r>
      <w:r w:rsidR="00910772">
        <w:t xml:space="preserve">changing </w:t>
      </w:r>
      <w:r>
        <w:t>environment</w:t>
      </w:r>
      <w:r w:rsidR="00C84B1E">
        <w:t xml:space="preserve"> and</w:t>
      </w:r>
      <w:r w:rsidR="000E2BEE">
        <w:t xml:space="preserve"> provide</w:t>
      </w:r>
      <w:r w:rsidR="00C84B1E">
        <w:t>s</w:t>
      </w:r>
      <w:r w:rsidR="00FF6B3D">
        <w:t xml:space="preserve"> </w:t>
      </w:r>
      <w:r w:rsidR="009C01A0">
        <w:t xml:space="preserve">funding for eligible terrorism losses arising from declared terrorism incident. The globally available reinsurance capacity for Australia for </w:t>
      </w:r>
      <w:r w:rsidR="00DC4116">
        <w:t xml:space="preserve">terrorism losses is approximately </w:t>
      </w:r>
      <w:r w:rsidR="00624712">
        <w:t>$</w:t>
      </w:r>
      <w:r w:rsidR="00DC4116">
        <w:t>4</w:t>
      </w:r>
      <w:r w:rsidR="00624712">
        <w:t xml:space="preserve"> billion</w:t>
      </w:r>
      <w:r w:rsidR="00C059C4">
        <w:t>.</w:t>
      </w:r>
      <w:r>
        <w:t xml:space="preserve"> See </w:t>
      </w:r>
      <w:r w:rsidRPr="00A151A9">
        <w:rPr>
          <w:i/>
        </w:rPr>
        <w:t xml:space="preserve">Figure </w:t>
      </w:r>
      <w:r w:rsidR="007C28BA">
        <w:rPr>
          <w:i/>
        </w:rPr>
        <w:t>3</w:t>
      </w:r>
      <w:r w:rsidRPr="00A151A9">
        <w:rPr>
          <w:i/>
        </w:rPr>
        <w:t>.1</w:t>
      </w:r>
      <w:r w:rsidR="00FB6DB3">
        <w:rPr>
          <w:i/>
        </w:rPr>
        <w:t xml:space="preserve"> </w:t>
      </w:r>
      <w:r w:rsidR="001D280F" w:rsidRPr="001D280F">
        <w:t>below</w:t>
      </w:r>
      <w:r w:rsidR="001D280F">
        <w:rPr>
          <w:i/>
        </w:rPr>
        <w:t xml:space="preserve"> </w:t>
      </w:r>
      <w:r w:rsidR="00FB6DB3" w:rsidRPr="001D280F">
        <w:t>for a pictorial view of ARPC</w:t>
      </w:r>
      <w:r w:rsidR="001D280F" w:rsidRPr="001D280F">
        <w:t>’s environment.</w:t>
      </w:r>
    </w:p>
    <w:p w14:paraId="6004FA07" w14:textId="77777777" w:rsidR="00B115E7" w:rsidRPr="00C26566" w:rsidRDefault="00B115E7" w:rsidP="00B115E7">
      <w:pPr>
        <w:pStyle w:val="Bodytext"/>
        <w:rPr>
          <w:rStyle w:val="Figure"/>
        </w:rPr>
      </w:pPr>
      <w:r w:rsidRPr="002F3B7E">
        <w:rPr>
          <w:rStyle w:val="Figure"/>
        </w:rPr>
        <w:t xml:space="preserve">Figure 3.1: </w:t>
      </w:r>
      <w:r w:rsidR="00B2657A" w:rsidRPr="002F3B7E">
        <w:rPr>
          <w:rStyle w:val="Figure"/>
        </w:rPr>
        <w:t>ARPC</w:t>
      </w:r>
      <w:r w:rsidR="00E43735" w:rsidRPr="002F3B7E">
        <w:rPr>
          <w:rStyle w:val="Figure"/>
        </w:rPr>
        <w:t>’s</w:t>
      </w:r>
      <w:r w:rsidR="00B2657A" w:rsidRPr="002F3B7E">
        <w:rPr>
          <w:rStyle w:val="Figure"/>
        </w:rPr>
        <w:t xml:space="preserve"> Environment</w:t>
      </w:r>
    </w:p>
    <w:p w14:paraId="39F8C5DF" w14:textId="77777777" w:rsidR="00A90F94" w:rsidRDefault="00C3571B" w:rsidP="0051528B">
      <w:pPr>
        <w:pStyle w:val="ARPCTableHeader"/>
        <w:ind w:left="-227"/>
        <w:jc w:val="center"/>
      </w:pPr>
      <w:r>
        <w:rPr>
          <w:noProof/>
          <w:lang w:val="en-AU" w:eastAsia="en-AU"/>
        </w:rPr>
        <w:drawing>
          <wp:inline distT="0" distB="0" distL="0" distR="0" wp14:anchorId="0F2CFDD7" wp14:editId="4C12D75A">
            <wp:extent cx="4572000" cy="6385718"/>
            <wp:effectExtent l="0" t="0" r="0" b="0"/>
            <wp:docPr id="17" name="Picture 17" descr="ARPC's Environment" title="Figure 3.1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RPC_Environment-FIN_16Aug18.jpg"/>
                    <pic:cNvPicPr/>
                  </pic:nvPicPr>
                  <pic:blipFill>
                    <a:blip r:embed="rId24"/>
                    <a:stretch>
                      <a:fillRect/>
                    </a:stretch>
                  </pic:blipFill>
                  <pic:spPr>
                    <a:xfrm>
                      <a:off x="0" y="0"/>
                      <a:ext cx="4573004" cy="6387120"/>
                    </a:xfrm>
                    <a:prstGeom prst="rect">
                      <a:avLst/>
                    </a:prstGeom>
                  </pic:spPr>
                </pic:pic>
              </a:graphicData>
            </a:graphic>
          </wp:inline>
        </w:drawing>
      </w:r>
    </w:p>
    <w:p w14:paraId="17CBC1FF" w14:textId="77777777" w:rsidR="00E07B09" w:rsidRPr="00DE39A7" w:rsidRDefault="00E07B09">
      <w:pPr>
        <w:pStyle w:val="Heading3"/>
      </w:pPr>
      <w:bookmarkStart w:id="220" w:name="_Toc513214487"/>
      <w:bookmarkStart w:id="221" w:name="_Toc518251582"/>
      <w:bookmarkStart w:id="222" w:name="_Toc522221646"/>
      <w:r>
        <w:lastRenderedPageBreak/>
        <w:t>M</w:t>
      </w:r>
      <w:r w:rsidRPr="00DE39A7">
        <w:t>arket</w:t>
      </w:r>
      <w:bookmarkEnd w:id="220"/>
      <w:r w:rsidR="002E4C82">
        <w:t xml:space="preserve"> </w:t>
      </w:r>
      <w:r w:rsidR="00D63D02">
        <w:t>g</w:t>
      </w:r>
      <w:r w:rsidR="00C003D5">
        <w:t>aps</w:t>
      </w:r>
      <w:bookmarkEnd w:id="221"/>
      <w:bookmarkEnd w:id="222"/>
    </w:p>
    <w:p w14:paraId="7EDE2023" w14:textId="77777777" w:rsidR="00E07B09" w:rsidRPr="00DE39A7" w:rsidRDefault="00E07B09" w:rsidP="005F7837">
      <w:pPr>
        <w:pStyle w:val="Bodytext"/>
      </w:pPr>
      <w:r w:rsidRPr="00DE39A7">
        <w:t xml:space="preserve">ARPC was established to address market </w:t>
      </w:r>
      <w:r w:rsidR="00C003D5">
        <w:t>gaps</w:t>
      </w:r>
      <w:r w:rsidRPr="00DE39A7">
        <w:t xml:space="preserve"> in the terrorism risk insurance market for Australian commercial properties. The 2015 Terrorism Insurance Act Review</w:t>
      </w:r>
      <w:r w:rsidRPr="00DE39A7">
        <w:rPr>
          <w:vertAlign w:val="superscript"/>
        </w:rPr>
        <w:footnoteReference w:id="2"/>
      </w:r>
      <w:r w:rsidRPr="00DE39A7">
        <w:t xml:space="preserve"> (the Triennial Review), considered the availability of reinsurance for terrorism risk in detail and concluded that there remains no whole-of-market, sustainable,</w:t>
      </w:r>
      <w:r w:rsidR="00FF0D82">
        <w:t xml:space="preserve"> </w:t>
      </w:r>
      <w:r w:rsidRPr="00DE39A7">
        <w:t xml:space="preserve">alternative provider of </w:t>
      </w:r>
      <w:r w:rsidR="00FF0D82">
        <w:t>reasonably priced</w:t>
      </w:r>
      <w:r w:rsidR="00FF0D82" w:rsidRPr="00DE39A7">
        <w:t xml:space="preserve"> </w:t>
      </w:r>
      <w:r w:rsidRPr="00DE39A7">
        <w:t xml:space="preserve">terrorism reinsurance, </w:t>
      </w:r>
      <w:r w:rsidR="004C176A">
        <w:t xml:space="preserve">and therefore, </w:t>
      </w:r>
      <w:r w:rsidRPr="00DE39A7">
        <w:t xml:space="preserve">market </w:t>
      </w:r>
      <w:r w:rsidR="00C003D5">
        <w:t>gaps</w:t>
      </w:r>
      <w:r w:rsidRPr="00DE39A7">
        <w:t xml:space="preserve"> still exist. </w:t>
      </w:r>
    </w:p>
    <w:p w14:paraId="2A83CA04" w14:textId="77777777" w:rsidR="00E07B09" w:rsidRPr="00DE39A7" w:rsidRDefault="00E07B09">
      <w:pPr>
        <w:pStyle w:val="Heading3"/>
      </w:pPr>
      <w:bookmarkStart w:id="223" w:name="Enviro_LegislativeFramework"/>
      <w:bookmarkStart w:id="224" w:name="Enviro_PricingConstraints"/>
      <w:bookmarkStart w:id="225" w:name="_Toc365707976"/>
      <w:bookmarkStart w:id="226" w:name="_Toc513214489"/>
      <w:bookmarkStart w:id="227" w:name="_Toc518251583"/>
      <w:bookmarkStart w:id="228" w:name="_Toc522221647"/>
      <w:bookmarkEnd w:id="223"/>
      <w:r>
        <w:t>P</w:t>
      </w:r>
      <w:r w:rsidRPr="00DE39A7">
        <w:t xml:space="preserve">ricing </w:t>
      </w:r>
      <w:bookmarkEnd w:id="224"/>
      <w:bookmarkEnd w:id="225"/>
      <w:bookmarkEnd w:id="226"/>
      <w:bookmarkEnd w:id="227"/>
      <w:r w:rsidR="00986D2E">
        <w:t>terrorism insurance</w:t>
      </w:r>
      <w:bookmarkEnd w:id="228"/>
    </w:p>
    <w:p w14:paraId="1CE9B321" w14:textId="77777777" w:rsidR="00E07B09" w:rsidRPr="002268A7" w:rsidRDefault="00E07B09" w:rsidP="005F7837">
      <w:pPr>
        <w:pStyle w:val="Bodytext"/>
      </w:pPr>
      <w:r w:rsidRPr="00DE39A7">
        <w:t>ARPC is a Public Financial Corporation operating in a private sector environment that is subject to global economic factors. The</w:t>
      </w:r>
      <w:r w:rsidR="00BD42BA">
        <w:t>re</w:t>
      </w:r>
      <w:r w:rsidRPr="00DE39A7">
        <w:t xml:space="preserve"> are often </w:t>
      </w:r>
      <w:r w:rsidR="00BD42BA">
        <w:t xml:space="preserve">events </w:t>
      </w:r>
      <w:r w:rsidRPr="00DE39A7">
        <w:t>outside</w:t>
      </w:r>
      <w:r w:rsidR="004C176A">
        <w:t xml:space="preserve"> of</w:t>
      </w:r>
      <w:r w:rsidRPr="00DE39A7">
        <w:t xml:space="preserve"> ARPC’s </w:t>
      </w:r>
      <w:r w:rsidR="00980297" w:rsidRPr="00DE39A7">
        <w:t>control</w:t>
      </w:r>
      <w:r w:rsidR="00BD42BA">
        <w:t xml:space="preserve"> that </w:t>
      </w:r>
      <w:r w:rsidRPr="00DE39A7">
        <w:t>can significantly impact the organisation’s financial sustainability and resilience.</w:t>
      </w:r>
    </w:p>
    <w:p w14:paraId="4C89AAE4" w14:textId="77777777" w:rsidR="00986D2E" w:rsidRPr="00DE39A7" w:rsidRDefault="00986D2E" w:rsidP="00986D2E">
      <w:pPr>
        <w:pStyle w:val="Bodytext"/>
      </w:pPr>
      <w:r w:rsidRPr="00DE39A7">
        <w:t>ARPC</w:t>
      </w:r>
      <w:r>
        <w:t>’s</w:t>
      </w:r>
      <w:r w:rsidRPr="00DE39A7">
        <w:t xml:space="preserve"> </w:t>
      </w:r>
      <w:r>
        <w:t xml:space="preserve">premium rates for terrorism reinsurance are based on community rating by postcode and are set by Ministerial Direction. It is impossible to predict the probability of a terrorist attack, making pricing very difficult. Claims from a terrorism incident could also be very large in scale. </w:t>
      </w:r>
      <w:r w:rsidRPr="00DE39A7">
        <w:t>ARPC’s pricing is based on population density and is split into city, suburban and other area tiers.</w:t>
      </w:r>
    </w:p>
    <w:p w14:paraId="586DC59E" w14:textId="77777777" w:rsidR="00980297" w:rsidRDefault="00980297" w:rsidP="00980297">
      <w:pPr>
        <w:shd w:val="clear" w:color="auto" w:fill="FFFFFF" w:themeFill="background2"/>
        <w:spacing w:after="225"/>
        <w:jc w:val="both"/>
        <w:rPr>
          <w:rFonts w:asciiTheme="majorHAnsi" w:hAnsiTheme="majorHAnsi"/>
          <w:color w:val="000000"/>
          <w:szCs w:val="21"/>
        </w:rPr>
      </w:pPr>
      <w:r>
        <w:rPr>
          <w:rFonts w:asciiTheme="majorHAnsi" w:hAnsiTheme="majorHAnsi"/>
          <w:color w:val="000000"/>
          <w:szCs w:val="21"/>
        </w:rPr>
        <w:t xml:space="preserve">The link between Australian terrorism </w:t>
      </w:r>
      <w:r w:rsidR="009D1BE1">
        <w:rPr>
          <w:rFonts w:asciiTheme="majorHAnsi" w:hAnsiTheme="majorHAnsi"/>
          <w:color w:val="000000"/>
          <w:szCs w:val="21"/>
        </w:rPr>
        <w:t xml:space="preserve">risk </w:t>
      </w:r>
      <w:r>
        <w:rPr>
          <w:rFonts w:asciiTheme="majorHAnsi" w:hAnsiTheme="majorHAnsi"/>
          <w:color w:val="000000"/>
          <w:szCs w:val="21"/>
        </w:rPr>
        <w:t xml:space="preserve">insurance and commercial property </w:t>
      </w:r>
      <w:r w:rsidR="009D1BE1">
        <w:rPr>
          <w:rFonts w:asciiTheme="majorHAnsi" w:hAnsiTheme="majorHAnsi"/>
          <w:color w:val="000000"/>
          <w:szCs w:val="21"/>
        </w:rPr>
        <w:t xml:space="preserve">insurance </w:t>
      </w:r>
      <w:r>
        <w:rPr>
          <w:rFonts w:asciiTheme="majorHAnsi" w:hAnsiTheme="majorHAnsi"/>
          <w:color w:val="000000"/>
          <w:szCs w:val="21"/>
        </w:rPr>
        <w:t>premiums leaves ARPC exposed to pricing shifts associated with global catastrophes, financial market fluctuations and terrorist incidents both in Australia and abroad.</w:t>
      </w:r>
    </w:p>
    <w:p w14:paraId="0643219B" w14:textId="77777777" w:rsidR="00410E06" w:rsidRPr="00166206" w:rsidRDefault="00980297" w:rsidP="00980297">
      <w:pPr>
        <w:shd w:val="clear" w:color="auto" w:fill="FFFFFF" w:themeFill="background2"/>
        <w:spacing w:after="225"/>
        <w:jc w:val="both"/>
        <w:rPr>
          <w:rFonts w:asciiTheme="majorHAnsi" w:hAnsiTheme="majorHAnsi"/>
          <w:color w:val="000000"/>
          <w:szCs w:val="21"/>
        </w:rPr>
      </w:pPr>
      <w:r>
        <w:rPr>
          <w:rFonts w:asciiTheme="majorHAnsi" w:hAnsiTheme="majorHAnsi"/>
          <w:color w:val="000000"/>
          <w:szCs w:val="21"/>
        </w:rPr>
        <w:t xml:space="preserve">Over the past twelve months, ARPC has </w:t>
      </w:r>
      <w:r w:rsidR="009D1BE1">
        <w:rPr>
          <w:rFonts w:asciiTheme="majorHAnsi" w:hAnsiTheme="majorHAnsi"/>
          <w:color w:val="000000"/>
          <w:szCs w:val="21"/>
        </w:rPr>
        <w:t xml:space="preserve">experienced </w:t>
      </w:r>
      <w:r>
        <w:rPr>
          <w:rFonts w:asciiTheme="majorHAnsi" w:hAnsiTheme="majorHAnsi"/>
          <w:color w:val="000000"/>
          <w:szCs w:val="21"/>
        </w:rPr>
        <w:t xml:space="preserve">increased </w:t>
      </w:r>
      <w:r w:rsidR="00252521">
        <w:rPr>
          <w:rFonts w:asciiTheme="majorHAnsi" w:hAnsiTheme="majorHAnsi"/>
          <w:color w:val="000000"/>
          <w:szCs w:val="21"/>
        </w:rPr>
        <w:t xml:space="preserve">underlying </w:t>
      </w:r>
      <w:r>
        <w:rPr>
          <w:rFonts w:asciiTheme="majorHAnsi" w:hAnsiTheme="majorHAnsi"/>
          <w:color w:val="000000"/>
          <w:szCs w:val="21"/>
        </w:rPr>
        <w:t>premiums in commercial property insurance, leading to increased premium income for ARPC</w:t>
      </w:r>
      <w:r w:rsidR="009D1BE1">
        <w:rPr>
          <w:rFonts w:asciiTheme="majorHAnsi" w:hAnsiTheme="majorHAnsi"/>
          <w:color w:val="000000"/>
          <w:szCs w:val="21"/>
        </w:rPr>
        <w:t>.</w:t>
      </w:r>
      <w:r>
        <w:rPr>
          <w:rFonts w:asciiTheme="majorHAnsi" w:hAnsiTheme="majorHAnsi"/>
          <w:color w:val="000000"/>
          <w:szCs w:val="21"/>
        </w:rPr>
        <w:t xml:space="preserve"> This is the first year in </w:t>
      </w:r>
      <w:r w:rsidR="009D1BE1">
        <w:rPr>
          <w:rFonts w:asciiTheme="majorHAnsi" w:hAnsiTheme="majorHAnsi"/>
          <w:color w:val="000000"/>
          <w:szCs w:val="21"/>
        </w:rPr>
        <w:t xml:space="preserve">the past </w:t>
      </w:r>
      <w:r>
        <w:rPr>
          <w:rFonts w:asciiTheme="majorHAnsi" w:hAnsiTheme="majorHAnsi"/>
          <w:color w:val="000000"/>
          <w:szCs w:val="21"/>
        </w:rPr>
        <w:t xml:space="preserve">five </w:t>
      </w:r>
      <w:r w:rsidR="009D1BE1">
        <w:rPr>
          <w:rFonts w:asciiTheme="majorHAnsi" w:hAnsiTheme="majorHAnsi"/>
          <w:color w:val="000000"/>
          <w:szCs w:val="21"/>
        </w:rPr>
        <w:t xml:space="preserve">years </w:t>
      </w:r>
      <w:r>
        <w:rPr>
          <w:rFonts w:asciiTheme="majorHAnsi" w:hAnsiTheme="majorHAnsi"/>
          <w:color w:val="000000"/>
          <w:szCs w:val="21"/>
        </w:rPr>
        <w:t xml:space="preserve">where </w:t>
      </w:r>
      <w:r w:rsidR="009D1BE1">
        <w:rPr>
          <w:rFonts w:asciiTheme="majorHAnsi" w:hAnsiTheme="majorHAnsi"/>
          <w:color w:val="000000"/>
          <w:szCs w:val="21"/>
        </w:rPr>
        <w:t xml:space="preserve">insurance </w:t>
      </w:r>
      <w:r w:rsidR="001B05F3">
        <w:rPr>
          <w:rFonts w:asciiTheme="majorHAnsi" w:hAnsiTheme="majorHAnsi"/>
          <w:color w:val="000000"/>
          <w:szCs w:val="21"/>
        </w:rPr>
        <w:t>premiums are</w:t>
      </w:r>
      <w:r>
        <w:rPr>
          <w:rFonts w:asciiTheme="majorHAnsi" w:hAnsiTheme="majorHAnsi"/>
          <w:color w:val="000000"/>
          <w:szCs w:val="21"/>
        </w:rPr>
        <w:t xml:space="preserve"> predicted to remain relatively stable in the coming period. </w:t>
      </w:r>
    </w:p>
    <w:p w14:paraId="586CFDAA" w14:textId="77777777" w:rsidR="006E06D2" w:rsidRPr="00DE39A7" w:rsidRDefault="003B0C42" w:rsidP="006E06D2">
      <w:pPr>
        <w:pStyle w:val="Bodytext"/>
      </w:pPr>
      <w:bookmarkStart w:id="229" w:name="Enviro_Premiums"/>
      <w:bookmarkEnd w:id="229"/>
      <w:r w:rsidRPr="00DE39A7">
        <w:t>All</w:t>
      </w:r>
      <w:r w:rsidR="001B4BB0">
        <w:t xml:space="preserve"> </w:t>
      </w:r>
      <w:r>
        <w:t xml:space="preserve">ARPC’s </w:t>
      </w:r>
      <w:r w:rsidRPr="00DE39A7">
        <w:t>operations</w:t>
      </w:r>
      <w:r w:rsidR="00E07B09" w:rsidRPr="00DE39A7">
        <w:t xml:space="preserve"> are funded (including retrocession premiums and fee and dividend payments to government) from premium income received from insurers and investment income. A fixed percentage of insurers’ premiums is </w:t>
      </w:r>
      <w:r w:rsidR="00986D2E">
        <w:t>charged</w:t>
      </w:r>
      <w:r w:rsidR="00986D2E" w:rsidRPr="00DE39A7">
        <w:t xml:space="preserve"> </w:t>
      </w:r>
      <w:r w:rsidR="00E07B09" w:rsidRPr="00DE39A7">
        <w:t xml:space="preserve">and, as a result, premium income is linked to insurer price fluctuations. Additionally, tier rates are based on the applicable postcode of each commercial property and can only be amended through a Ministerial Direction. </w:t>
      </w:r>
    </w:p>
    <w:p w14:paraId="684C5219" w14:textId="77777777" w:rsidR="00E07B09" w:rsidRPr="00DE39A7" w:rsidRDefault="00E07B09" w:rsidP="00166206">
      <w:pPr>
        <w:pStyle w:val="Heading3"/>
      </w:pPr>
      <w:bookmarkStart w:id="230" w:name="Enviro_PurchasingRetro"/>
      <w:bookmarkStart w:id="231" w:name="_Toc365707978"/>
      <w:bookmarkStart w:id="232" w:name="_Toc513214493"/>
      <w:bookmarkStart w:id="233" w:name="_Toc522221648"/>
      <w:bookmarkEnd w:id="230"/>
      <w:r>
        <w:t>Purchasing r</w:t>
      </w:r>
      <w:r w:rsidRPr="00DE39A7">
        <w:t>etrocession</w:t>
      </w:r>
      <w:bookmarkEnd w:id="231"/>
      <w:bookmarkEnd w:id="232"/>
      <w:bookmarkEnd w:id="233"/>
    </w:p>
    <w:p w14:paraId="52F68623" w14:textId="77777777" w:rsidR="00E07B09" w:rsidRPr="00DE39A7" w:rsidRDefault="00E07B09" w:rsidP="005F7837">
      <w:pPr>
        <w:pStyle w:val="Bodytext"/>
      </w:pPr>
      <w:r w:rsidRPr="00DE39A7">
        <w:t xml:space="preserve">Since 2009, ARPC has placed an annual retrocession program to provide a valuable funding source for rebuilding Australian commercial infrastructure in the event of a major terrorist attack, </w:t>
      </w:r>
      <w:r w:rsidR="00E03EDC">
        <w:t>and</w:t>
      </w:r>
      <w:r w:rsidRPr="00DE39A7">
        <w:t xml:space="preserve"> </w:t>
      </w:r>
      <w:r w:rsidR="00912B23">
        <w:t xml:space="preserve">to </w:t>
      </w:r>
      <w:r w:rsidRPr="00DE39A7">
        <w:t>reduce the risk</w:t>
      </w:r>
      <w:r w:rsidR="001A30E5">
        <w:t xml:space="preserve"> to Government</w:t>
      </w:r>
      <w:r w:rsidRPr="00DE39A7">
        <w:t xml:space="preserve"> that ARPC will need to draw on the Commonwealth guarantee. </w:t>
      </w:r>
    </w:p>
    <w:p w14:paraId="5684CC9F" w14:textId="77777777" w:rsidR="00C3571B" w:rsidRDefault="00C3571B">
      <w:pPr>
        <w:pStyle w:val="Heading3"/>
        <w:rPr>
          <w:rStyle w:val="Heading2Char"/>
          <w:caps/>
        </w:rPr>
      </w:pPr>
      <w:bookmarkStart w:id="234" w:name="Enviro_DecliningCapital"/>
      <w:bookmarkEnd w:id="234"/>
      <w:r>
        <w:rPr>
          <w:rStyle w:val="Heading2Char"/>
          <w:caps/>
        </w:rPr>
        <w:br w:type="page"/>
      </w:r>
    </w:p>
    <w:p w14:paraId="3FAADCC8" w14:textId="77777777" w:rsidR="00433AC7" w:rsidRDefault="00433AC7" w:rsidP="005F7837">
      <w:pPr>
        <w:pStyle w:val="Heading1"/>
        <w:rPr>
          <w:rStyle w:val="Heading2Char"/>
        </w:rPr>
      </w:pPr>
      <w:bookmarkStart w:id="235" w:name="_Toc518251584"/>
      <w:bookmarkStart w:id="236" w:name="_Toc522221649"/>
      <w:r w:rsidRPr="005F7837">
        <w:rPr>
          <w:noProof/>
          <w:lang w:eastAsia="en-AU"/>
        </w:rPr>
        <w:lastRenderedPageBreak/>
        <w:drawing>
          <wp:anchor distT="0" distB="0" distL="114300" distR="114300" simplePos="0" relativeHeight="251658242" behindDoc="1" locked="0" layoutInCell="1" allowOverlap="1" wp14:anchorId="09DC8505" wp14:editId="6BE7C4D0">
            <wp:simplePos x="0" y="0"/>
            <wp:positionH relativeFrom="page">
              <wp:posOffset>1270</wp:posOffset>
            </wp:positionH>
            <wp:positionV relativeFrom="paragraph">
              <wp:posOffset>-1733550</wp:posOffset>
            </wp:positionV>
            <wp:extent cx="7560000" cy="7531763"/>
            <wp:effectExtent l="0" t="0" r="3175" b="0"/>
            <wp:wrapNone/>
            <wp:docPr id="12" name="Picture 12" descr="Section Divider" title="Section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Page.jpg"/>
                    <pic:cNvPicPr/>
                  </pic:nvPicPr>
                  <pic:blipFill>
                    <a:blip r:embed="rId17">
                      <a:extLst>
                        <a:ext uri="{28A0092B-C50C-407E-A947-70E740481C1C}">
                          <a14:useLocalDpi xmlns:a14="http://schemas.microsoft.com/office/drawing/2010/main" val="0"/>
                        </a:ext>
                      </a:extLst>
                    </a:blip>
                    <a:stretch>
                      <a:fillRect/>
                    </a:stretch>
                  </pic:blipFill>
                  <pic:spPr>
                    <a:xfrm>
                      <a:off x="0" y="0"/>
                      <a:ext cx="7560000" cy="7531763"/>
                    </a:xfrm>
                    <a:prstGeom prst="rect">
                      <a:avLst/>
                    </a:prstGeom>
                  </pic:spPr>
                </pic:pic>
              </a:graphicData>
            </a:graphic>
            <wp14:sizeRelH relativeFrom="page">
              <wp14:pctWidth>0</wp14:pctWidth>
            </wp14:sizeRelH>
            <wp14:sizeRelV relativeFrom="page">
              <wp14:pctHeight>0</wp14:pctHeight>
            </wp14:sizeRelV>
          </wp:anchor>
        </w:drawing>
      </w:r>
      <w:r w:rsidRPr="005F7837">
        <w:rPr>
          <w:rStyle w:val="Heading2Char"/>
          <w:rFonts w:eastAsiaTheme="minorEastAsia" w:cstheme="minorBidi"/>
          <w:caps/>
          <w:color w:val="FFFFFF" w:themeColor="background1"/>
          <w:sz w:val="40"/>
          <w:szCs w:val="40"/>
        </w:rPr>
        <w:t>C</w:t>
      </w:r>
      <w:r>
        <w:rPr>
          <w:rStyle w:val="Heading2Char"/>
          <w:rFonts w:eastAsiaTheme="minorEastAsia" w:cstheme="minorBidi"/>
          <w:caps/>
          <w:color w:val="FFFFFF" w:themeColor="background1"/>
          <w:sz w:val="40"/>
          <w:szCs w:val="40"/>
        </w:rPr>
        <w:t>APABILITY</w:t>
      </w:r>
      <w:bookmarkEnd w:id="235"/>
      <w:bookmarkEnd w:id="236"/>
      <w:r>
        <w:rPr>
          <w:rStyle w:val="Heading2Char"/>
        </w:rPr>
        <w:br w:type="page"/>
      </w:r>
    </w:p>
    <w:p w14:paraId="18E4C983" w14:textId="77777777" w:rsidR="00E60B44" w:rsidRPr="005F7837" w:rsidRDefault="00B57ECE" w:rsidP="005F7837">
      <w:pPr>
        <w:pStyle w:val="Heading2"/>
      </w:pPr>
      <w:bookmarkStart w:id="237" w:name="_Toc516064806"/>
      <w:r w:rsidRPr="005F7837">
        <w:lastRenderedPageBreak/>
        <w:t>CAPABILIT</w:t>
      </w:r>
      <w:r w:rsidR="008C01B7" w:rsidRPr="005F7837">
        <w:t>Y</w:t>
      </w:r>
      <w:bookmarkEnd w:id="237"/>
    </w:p>
    <w:p w14:paraId="1C136CCD" w14:textId="77777777" w:rsidR="00FD2875" w:rsidRDefault="00FD2875" w:rsidP="005F7837">
      <w:pPr>
        <w:pStyle w:val="Bodytext"/>
      </w:pPr>
      <w:r>
        <w:t>ARPC’s capability is guided by its strategic priorities and core competencies. ARPC’s strategic priorit</w:t>
      </w:r>
      <w:r w:rsidR="00575B61">
        <w:t>ies support its p</w:t>
      </w:r>
      <w:r>
        <w:t>urpose and are based on current business objectives.</w:t>
      </w:r>
    </w:p>
    <w:p w14:paraId="3041AF84" w14:textId="77777777" w:rsidR="00FD2875" w:rsidRPr="00DE39A7" w:rsidRDefault="00FD2875" w:rsidP="0074072A">
      <w:pPr>
        <w:pStyle w:val="Heading3"/>
      </w:pPr>
      <w:r>
        <w:t xml:space="preserve">STRATEGIC PRIORITIES </w:t>
      </w:r>
    </w:p>
    <w:p w14:paraId="62F739E3" w14:textId="77777777" w:rsidR="00FD2875" w:rsidRDefault="00FD2875" w:rsidP="00FD2875">
      <w:pPr>
        <w:pStyle w:val="Bodytext"/>
      </w:pPr>
      <w:r>
        <w:t>The Strategic Priorities are to:</w:t>
      </w:r>
    </w:p>
    <w:p w14:paraId="417498A0" w14:textId="77777777" w:rsidR="005B438A" w:rsidRDefault="00C3571B" w:rsidP="00FD2875">
      <w:pPr>
        <w:pStyle w:val="Bodytext"/>
      </w:pPr>
      <w:r>
        <w:rPr>
          <w:noProof/>
          <w:lang w:eastAsia="en-AU"/>
        </w:rPr>
        <w:drawing>
          <wp:inline distT="0" distB="0" distL="0" distR="0" wp14:anchorId="35766203" wp14:editId="199AF013">
            <wp:extent cx="5082639" cy="3128908"/>
            <wp:effectExtent l="0" t="0" r="3810" b="0"/>
            <wp:docPr id="18" name="Picture 18" descr="Strategic Priorities Diagram" title="Strategic Priorities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7141" cy="3131679"/>
                    </a:xfrm>
                    <a:prstGeom prst="rect">
                      <a:avLst/>
                    </a:prstGeom>
                    <a:noFill/>
                  </pic:spPr>
                </pic:pic>
              </a:graphicData>
            </a:graphic>
          </wp:inline>
        </w:drawing>
      </w:r>
    </w:p>
    <w:p w14:paraId="310FFFD4" w14:textId="77777777" w:rsidR="00CA1ACC" w:rsidRDefault="00CA1ACC" w:rsidP="00CA1ACC">
      <w:pPr>
        <w:pStyle w:val="Bodytext"/>
      </w:pPr>
      <w:r w:rsidRPr="005D60A5">
        <w:t xml:space="preserve">To deliver against the </w:t>
      </w:r>
      <w:r>
        <w:t>five</w:t>
      </w:r>
      <w:r w:rsidRPr="005D60A5">
        <w:t xml:space="preserve"> strategic priorities and </w:t>
      </w:r>
      <w:r>
        <w:t>on</w:t>
      </w:r>
      <w:r w:rsidRPr="005D60A5">
        <w:t xml:space="preserve"> the original objectives set out under the </w:t>
      </w:r>
      <w:r w:rsidRPr="00043E15">
        <w:rPr>
          <w:i/>
        </w:rPr>
        <w:t>TI Act</w:t>
      </w:r>
      <w:r w:rsidRPr="005D60A5">
        <w:t xml:space="preserve">, ARPC has several key </w:t>
      </w:r>
      <w:r>
        <w:t>performance areas</w:t>
      </w:r>
      <w:r w:rsidRPr="005D60A5">
        <w:t xml:space="preserve">. A summary of these </w:t>
      </w:r>
      <w:r>
        <w:t>key performance areas (KPIs)</w:t>
      </w:r>
      <w:r w:rsidRPr="005D60A5">
        <w:t xml:space="preserve"> can be seen in </w:t>
      </w:r>
      <w:r w:rsidRPr="00407C46">
        <w:rPr>
          <w:i/>
        </w:rPr>
        <w:t>Figure 4.1</w:t>
      </w:r>
      <w:r>
        <w:t xml:space="preserve"> with additional detail available in </w:t>
      </w:r>
      <w:r w:rsidRPr="00407C46">
        <w:rPr>
          <w:i/>
        </w:rPr>
        <w:t>Figure 4.2</w:t>
      </w:r>
      <w:r>
        <w:t xml:space="preserve">. Measures against each KPI can be found in </w:t>
      </w:r>
      <w:r w:rsidR="000B282C">
        <w:t xml:space="preserve">Section 6, </w:t>
      </w:r>
      <w:r w:rsidRPr="009F2D5B">
        <w:rPr>
          <w:b/>
        </w:rPr>
        <w:t>Performance</w:t>
      </w:r>
      <w:r w:rsidR="000B282C">
        <w:rPr>
          <w:b/>
        </w:rPr>
        <w:t>.</w:t>
      </w:r>
    </w:p>
    <w:p w14:paraId="4DD6295A" w14:textId="77777777" w:rsidR="00FA6A5E" w:rsidRDefault="00FA6A5E">
      <w:pPr>
        <w:spacing w:after="0"/>
        <w:rPr>
          <w:rStyle w:val="Figure"/>
          <w:rFonts w:cs="Times New Roman"/>
          <w:szCs w:val="21"/>
        </w:rPr>
      </w:pPr>
      <w:r>
        <w:rPr>
          <w:rStyle w:val="Figure"/>
        </w:rPr>
        <w:br w:type="page"/>
      </w:r>
    </w:p>
    <w:p w14:paraId="2BFD4A86" w14:textId="77777777" w:rsidR="00FA6A5E" w:rsidRDefault="00FA6A5E" w:rsidP="00AB4E17">
      <w:pPr>
        <w:pStyle w:val="Bodytext"/>
        <w:spacing w:after="120"/>
      </w:pPr>
      <w:r w:rsidRPr="002F3B7E">
        <w:rPr>
          <w:rStyle w:val="Figure"/>
        </w:rPr>
        <w:lastRenderedPageBreak/>
        <w:t xml:space="preserve">Figure 4.1: Corporate Plan – </w:t>
      </w:r>
      <w:r w:rsidR="003F072A" w:rsidRPr="002F3B7E">
        <w:rPr>
          <w:rStyle w:val="Figure"/>
        </w:rPr>
        <w:t xml:space="preserve">key performance area </w:t>
      </w:r>
      <w:r w:rsidRPr="002F3B7E">
        <w:rPr>
          <w:rStyle w:val="Figure"/>
        </w:rPr>
        <w:t>detail</w:t>
      </w:r>
      <w:r w:rsidRPr="005F7837">
        <w:rPr>
          <w:rStyle w:val="Figure"/>
          <w:b w:val="0"/>
          <w:color w:val="000000"/>
          <w:sz w:val="21"/>
        </w:rPr>
        <w:t xml:space="preserve"> </w:t>
      </w:r>
    </w:p>
    <w:p w14:paraId="2F20AE94" w14:textId="77777777" w:rsidR="00C757E1" w:rsidRDefault="00692628">
      <w:pPr>
        <w:spacing w:after="0"/>
        <w:rPr>
          <w:rFonts w:ascii="Trebuchet MS" w:eastAsiaTheme="majorEastAsia" w:hAnsi="Trebuchet MS" w:cstheme="majorBidi"/>
          <w:caps/>
          <w:color w:val="056CB6" w:themeColor="accent3"/>
          <w:sz w:val="28"/>
          <w:szCs w:val="28"/>
        </w:rPr>
      </w:pPr>
      <w:r>
        <w:rPr>
          <w:noProof/>
          <w:lang w:eastAsia="en-AU"/>
        </w:rPr>
        <w:drawing>
          <wp:inline distT="0" distB="0" distL="0" distR="0" wp14:anchorId="67F8BA5A" wp14:editId="4C120A67">
            <wp:extent cx="7764045" cy="5378760"/>
            <wp:effectExtent l="0" t="7620" r="127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7777328" cy="5387962"/>
                    </a:xfrm>
                    <a:prstGeom prst="rect">
                      <a:avLst/>
                    </a:prstGeom>
                    <a:noFill/>
                  </pic:spPr>
                </pic:pic>
              </a:graphicData>
            </a:graphic>
          </wp:inline>
        </w:drawing>
      </w:r>
      <w:r w:rsidR="00C757E1">
        <w:br w:type="page"/>
      </w:r>
    </w:p>
    <w:p w14:paraId="13D62A93" w14:textId="77777777" w:rsidR="000C6812" w:rsidRDefault="00377111" w:rsidP="000C6812">
      <w:pPr>
        <w:pStyle w:val="Heading3"/>
      </w:pPr>
      <w:bookmarkStart w:id="238" w:name="_Toc518251585"/>
      <w:bookmarkStart w:id="239" w:name="_Toc522221650"/>
      <w:r>
        <w:lastRenderedPageBreak/>
        <w:t xml:space="preserve">Delivering </w:t>
      </w:r>
      <w:r w:rsidR="00B35950">
        <w:t xml:space="preserve">ARPC’s </w:t>
      </w:r>
      <w:r>
        <w:t>strategic priorities</w:t>
      </w:r>
      <w:bookmarkEnd w:id="238"/>
      <w:bookmarkEnd w:id="239"/>
    </w:p>
    <w:p w14:paraId="1A2C15D5" w14:textId="77777777" w:rsidR="00ED52B6" w:rsidRPr="00727BF8" w:rsidRDefault="00B17C48" w:rsidP="00ED52B6">
      <w:pPr>
        <w:pStyle w:val="Bodytext"/>
      </w:pPr>
      <w:r>
        <w:t xml:space="preserve">ARPC’s </w:t>
      </w:r>
      <w:r w:rsidR="00ED52B6">
        <w:t>key</w:t>
      </w:r>
      <w:r w:rsidR="00ED52B6" w:rsidRPr="00BA6A98">
        <w:t xml:space="preserve"> performance areas</w:t>
      </w:r>
      <w:r w:rsidR="00ED52B6">
        <w:t xml:space="preserve"> </w:t>
      </w:r>
      <w:r w:rsidR="00ED52B6" w:rsidRPr="00727BF8">
        <w:t xml:space="preserve">to </w:t>
      </w:r>
      <w:r w:rsidR="008C5684">
        <w:t xml:space="preserve">measure delivery of strategic priorities </w:t>
      </w:r>
      <w:r w:rsidR="00C14C26">
        <w:t xml:space="preserve">to </w:t>
      </w:r>
      <w:r w:rsidR="00ED52B6" w:rsidRPr="00727BF8">
        <w:t xml:space="preserve">support </w:t>
      </w:r>
      <w:r w:rsidR="00D03528">
        <w:t>the</w:t>
      </w:r>
      <w:r w:rsidR="00ED52B6" w:rsidRPr="00727BF8">
        <w:t xml:space="preserve"> functions of corporation </w:t>
      </w:r>
      <w:r w:rsidR="00ED52B6">
        <w:t>ar</w:t>
      </w:r>
      <w:r w:rsidR="00ED52B6" w:rsidRPr="00727BF8">
        <w:t>e:</w:t>
      </w:r>
    </w:p>
    <w:p w14:paraId="284E4A59" w14:textId="77777777" w:rsidR="00ED52B6" w:rsidRPr="00C3571B" w:rsidRDefault="00A37F25" w:rsidP="00C3571B">
      <w:pPr>
        <w:pStyle w:val="BulletL1"/>
      </w:pPr>
      <w:r w:rsidRPr="00C3571B">
        <w:t xml:space="preserve">KPI </w:t>
      </w:r>
      <w:r w:rsidR="00ED784B" w:rsidRPr="00C3571B">
        <w:t xml:space="preserve">Area </w:t>
      </w:r>
      <w:r w:rsidRPr="00C3571B">
        <w:t xml:space="preserve">One - </w:t>
      </w:r>
      <w:r w:rsidR="00ED52B6" w:rsidRPr="00C3571B">
        <w:t>to provide reinsurance for eligible terrorism losses;</w:t>
      </w:r>
    </w:p>
    <w:p w14:paraId="5E86F420" w14:textId="77777777" w:rsidR="00ED52B6" w:rsidRPr="00C3571B" w:rsidRDefault="00A37F25" w:rsidP="00C3571B">
      <w:pPr>
        <w:pStyle w:val="BulletL1"/>
      </w:pPr>
      <w:r w:rsidRPr="00C3571B">
        <w:t xml:space="preserve">KPI </w:t>
      </w:r>
      <w:r w:rsidR="00ED784B" w:rsidRPr="00C3571B">
        <w:t xml:space="preserve">Area </w:t>
      </w:r>
      <w:r w:rsidRPr="00C3571B">
        <w:t xml:space="preserve">Two - </w:t>
      </w:r>
      <w:r w:rsidR="00ED52B6" w:rsidRPr="00C3571B">
        <w:t>to encourage private sector participation through the retrocession program;</w:t>
      </w:r>
    </w:p>
    <w:p w14:paraId="7A504783" w14:textId="77777777" w:rsidR="00ED52B6" w:rsidRPr="00C3571B" w:rsidRDefault="00A37F25" w:rsidP="00C3571B">
      <w:pPr>
        <w:pStyle w:val="BulletL1"/>
      </w:pPr>
      <w:r w:rsidRPr="00C3571B">
        <w:t xml:space="preserve">KPI </w:t>
      </w:r>
      <w:r w:rsidR="00ED784B" w:rsidRPr="00C3571B">
        <w:t xml:space="preserve">Area </w:t>
      </w:r>
      <w:r w:rsidRPr="00C3571B">
        <w:t xml:space="preserve">Three - </w:t>
      </w:r>
      <w:r w:rsidR="00ED52B6" w:rsidRPr="00C3571B">
        <w:t>to compensate the Government; and</w:t>
      </w:r>
    </w:p>
    <w:p w14:paraId="74D46F43" w14:textId="087DC5FC" w:rsidR="00ED52B6" w:rsidRDefault="00A37F25" w:rsidP="00C3571B">
      <w:pPr>
        <w:pStyle w:val="BulletL1"/>
      </w:pPr>
      <w:r w:rsidRPr="00C3571B">
        <w:t xml:space="preserve">KPI </w:t>
      </w:r>
      <w:r w:rsidR="00ED784B" w:rsidRPr="00C3571B">
        <w:t xml:space="preserve">Area </w:t>
      </w:r>
      <w:r w:rsidRPr="00C3571B">
        <w:t xml:space="preserve">Four - </w:t>
      </w:r>
      <w:r w:rsidR="00ED52B6" w:rsidRPr="00C3571B">
        <w:t xml:space="preserve">to maintain financial sustainability and </w:t>
      </w:r>
      <w:proofErr w:type="spellStart"/>
      <w:r w:rsidR="00ED52B6" w:rsidRPr="00C3571B">
        <w:t>organisational</w:t>
      </w:r>
      <w:proofErr w:type="spellEnd"/>
      <w:r w:rsidR="00ED52B6" w:rsidRPr="00C3571B">
        <w:t xml:space="preserve"> resilience.</w:t>
      </w:r>
    </w:p>
    <w:p w14:paraId="5C20FB5C" w14:textId="77777777" w:rsidR="00595058" w:rsidRPr="00C3571B" w:rsidRDefault="00595058" w:rsidP="00595058">
      <w:pPr>
        <w:pStyle w:val="BulletL1"/>
        <w:numPr>
          <w:ilvl w:val="0"/>
          <w:numId w:val="0"/>
        </w:numPr>
        <w:ind w:left="284"/>
      </w:pPr>
    </w:p>
    <w:p w14:paraId="14BD5527" w14:textId="77777777" w:rsidR="00110191" w:rsidRPr="00FC6A5C" w:rsidRDefault="00110191" w:rsidP="00110191">
      <w:pPr>
        <w:pStyle w:val="Bodytext"/>
        <w:rPr>
          <w:rStyle w:val="Figure"/>
        </w:rPr>
      </w:pPr>
      <w:r w:rsidRPr="005F7837">
        <w:rPr>
          <w:rStyle w:val="Figure"/>
        </w:rPr>
        <w:t xml:space="preserve">Figure </w:t>
      </w:r>
      <w:r>
        <w:rPr>
          <w:rStyle w:val="Figure"/>
        </w:rPr>
        <w:t>4</w:t>
      </w:r>
      <w:r w:rsidRPr="005F7837">
        <w:rPr>
          <w:rStyle w:val="Figure"/>
        </w:rPr>
        <w:t>.</w:t>
      </w:r>
      <w:r>
        <w:rPr>
          <w:rStyle w:val="Figure"/>
        </w:rPr>
        <w:t>2</w:t>
      </w:r>
      <w:r w:rsidRPr="005F7837">
        <w:rPr>
          <w:rStyle w:val="Figure"/>
        </w:rPr>
        <w:t xml:space="preserve">: </w:t>
      </w:r>
      <w:r w:rsidR="000937D5">
        <w:rPr>
          <w:rStyle w:val="Figure"/>
        </w:rPr>
        <w:t>Mapping of strategic priorities against activities/deliverables</w:t>
      </w:r>
    </w:p>
    <w:tbl>
      <w:tblPr>
        <w:tblStyle w:val="TableGrid"/>
        <w:tblW w:w="8363" w:type="dxa"/>
        <w:jc w:val="center"/>
        <w:tblCellMar>
          <w:top w:w="113" w:type="dxa"/>
          <w:bottom w:w="57" w:type="dxa"/>
        </w:tblCellMar>
        <w:tblLook w:val="04A0" w:firstRow="1" w:lastRow="0" w:firstColumn="1" w:lastColumn="0" w:noHBand="0" w:noVBand="1"/>
      </w:tblPr>
      <w:tblGrid>
        <w:gridCol w:w="1425"/>
        <w:gridCol w:w="6938"/>
      </w:tblGrid>
      <w:tr w:rsidR="00110191" w14:paraId="4968FA7F" w14:textId="77777777" w:rsidTr="002F3B7E">
        <w:trPr>
          <w:trHeight w:val="364"/>
          <w:tblHeader/>
          <w:jc w:val="center"/>
        </w:trPr>
        <w:tc>
          <w:tcPr>
            <w:tcW w:w="1287" w:type="dxa"/>
            <w:tcBorders>
              <w:top w:val="nil"/>
              <w:left w:val="nil"/>
              <w:bottom w:val="nil"/>
              <w:right w:val="nil"/>
            </w:tcBorders>
            <w:shd w:val="clear" w:color="auto" w:fill="184C8D"/>
            <w:vAlign w:val="center"/>
            <w:hideMark/>
          </w:tcPr>
          <w:p w14:paraId="3E787DBA" w14:textId="77777777" w:rsidR="00110191" w:rsidRDefault="00110191">
            <w:pPr>
              <w:pStyle w:val="ARPCTableHeader"/>
              <w:rPr>
                <w:rStyle w:val="ARPCTableBCReg"/>
              </w:rPr>
            </w:pPr>
            <w:r>
              <w:rPr>
                <w:rStyle w:val="ARPCTableBCReg"/>
              </w:rPr>
              <w:t>Strategic priority</w:t>
            </w:r>
          </w:p>
        </w:tc>
        <w:tc>
          <w:tcPr>
            <w:tcW w:w="7076" w:type="dxa"/>
            <w:tcBorders>
              <w:top w:val="nil"/>
              <w:left w:val="nil"/>
              <w:bottom w:val="nil"/>
              <w:right w:val="nil"/>
            </w:tcBorders>
            <w:shd w:val="clear" w:color="auto" w:fill="184C8D"/>
            <w:vAlign w:val="center"/>
            <w:hideMark/>
          </w:tcPr>
          <w:p w14:paraId="2F7C2A21" w14:textId="77777777" w:rsidR="00110191" w:rsidRDefault="00110191">
            <w:pPr>
              <w:pStyle w:val="ARPCTableHeader"/>
              <w:rPr>
                <w:rStyle w:val="ARPCTableBCReg"/>
              </w:rPr>
            </w:pPr>
            <w:r>
              <w:rPr>
                <w:rStyle w:val="ARPCTableBCReg"/>
              </w:rPr>
              <w:t>2018-2022 Activities / Deliverables</w:t>
            </w:r>
            <w:r>
              <w:rPr>
                <w:rStyle w:val="FootnoteReference"/>
              </w:rPr>
              <w:footnoteReference w:id="3"/>
            </w:r>
          </w:p>
        </w:tc>
      </w:tr>
      <w:tr w:rsidR="00110191" w14:paraId="030675A4" w14:textId="77777777" w:rsidTr="002F3B7E">
        <w:trPr>
          <w:trHeight w:val="411"/>
          <w:jc w:val="center"/>
        </w:trPr>
        <w:tc>
          <w:tcPr>
            <w:tcW w:w="1287" w:type="dxa"/>
            <w:tcBorders>
              <w:top w:val="nil"/>
              <w:left w:val="nil"/>
              <w:bottom w:val="single" w:sz="4" w:space="0" w:color="D9D9D9" w:themeColor="background2" w:themeShade="D9"/>
              <w:right w:val="single" w:sz="4" w:space="0" w:color="D9D9D9" w:themeColor="background2" w:themeShade="D9"/>
            </w:tcBorders>
            <w:shd w:val="clear" w:color="auto" w:fill="F2F2F2" w:themeFill="background2" w:themeFillShade="F2"/>
            <w:hideMark/>
          </w:tcPr>
          <w:p w14:paraId="5B5EB10D" w14:textId="77777777" w:rsidR="00110191" w:rsidRDefault="00110191">
            <w:pPr>
              <w:pStyle w:val="ARPCTableBC"/>
              <w:rPr>
                <w:rFonts w:ascii="Aller Light" w:eastAsia="Aller Light" w:hAnsi="Aller Light" w:cs="Aller Light"/>
                <w:sz w:val="20"/>
                <w:szCs w:val="20"/>
              </w:rPr>
            </w:pPr>
            <w:r>
              <w:t xml:space="preserve">Extend thought leadership </w:t>
            </w:r>
            <w:r w:rsidR="00C736D6">
              <w:t>and</w:t>
            </w:r>
            <w:r>
              <w:t xml:space="preserve"> expertise</w:t>
            </w:r>
          </w:p>
        </w:tc>
        <w:tc>
          <w:tcPr>
            <w:tcW w:w="7076" w:type="dxa"/>
            <w:tcBorders>
              <w:top w:val="nil"/>
              <w:left w:val="single" w:sz="4" w:space="0" w:color="D9D9D9" w:themeColor="background2" w:themeShade="D9"/>
              <w:bottom w:val="single" w:sz="4" w:space="0" w:color="D9D9D9" w:themeColor="background2" w:themeShade="D9"/>
              <w:right w:val="nil"/>
            </w:tcBorders>
            <w:hideMark/>
          </w:tcPr>
          <w:p w14:paraId="5ABB3489" w14:textId="77777777" w:rsidR="00110191" w:rsidRPr="0030026E" w:rsidRDefault="00365955" w:rsidP="0030026E">
            <w:pPr>
              <w:pStyle w:val="ARPCTableBullet"/>
            </w:pPr>
            <w:r w:rsidRPr="0030026E">
              <w:t>Progress r</w:t>
            </w:r>
            <w:r w:rsidR="00110191" w:rsidRPr="0030026E">
              <w:t>isk mitigation work with Standards Australia to develop a risk mitigation Handbook</w:t>
            </w:r>
            <w:r w:rsidR="00814E19" w:rsidRPr="0030026E">
              <w:t xml:space="preserve"> for business</w:t>
            </w:r>
            <w:r w:rsidR="00110191" w:rsidRPr="0030026E">
              <w:t xml:space="preserve"> *</w:t>
            </w:r>
            <w:r w:rsidR="00110191" w:rsidRPr="0030026E">
              <w:rPr>
                <w:b/>
              </w:rPr>
              <w:t>(KPI Area Two)</w:t>
            </w:r>
          </w:p>
          <w:p w14:paraId="5ADB4C6D" w14:textId="77777777" w:rsidR="00110191" w:rsidRPr="0030026E" w:rsidRDefault="00110191" w:rsidP="0030026E">
            <w:pPr>
              <w:pStyle w:val="ARPCTableBullet"/>
            </w:pPr>
            <w:r w:rsidRPr="0030026E">
              <w:t>Prepare for the 2018 and 2021 Triennial review</w:t>
            </w:r>
            <w:r w:rsidR="00814E19" w:rsidRPr="0030026E">
              <w:t xml:space="preserve"> of the </w:t>
            </w:r>
            <w:r w:rsidR="00145E2F" w:rsidRPr="0030026E">
              <w:t>scheme</w:t>
            </w:r>
            <w:r w:rsidR="00814E19" w:rsidRPr="0030026E">
              <w:t xml:space="preserve"> by the Treasury</w:t>
            </w:r>
            <w:r w:rsidRPr="0030026E">
              <w:t xml:space="preserve">. </w:t>
            </w:r>
            <w:r w:rsidRPr="0030026E">
              <w:rPr>
                <w:rStyle w:val="ARPCTableBCReg"/>
                <w:rFonts w:ascii="Calibri Light" w:hAnsi="Calibri Light"/>
              </w:rPr>
              <w:t>*</w:t>
            </w:r>
            <w:r w:rsidRPr="0030026E">
              <w:rPr>
                <w:rStyle w:val="ARPCTableBCReg"/>
                <w:rFonts w:ascii="Calibri Light" w:hAnsi="Calibri Light"/>
                <w:b/>
              </w:rPr>
              <w:t>(KPI Area One)</w:t>
            </w:r>
          </w:p>
          <w:p w14:paraId="2A0FD794" w14:textId="77777777" w:rsidR="00110191" w:rsidRPr="0030026E" w:rsidRDefault="00110191" w:rsidP="0030026E">
            <w:pPr>
              <w:pStyle w:val="ARPCTableBullet"/>
            </w:pPr>
            <w:r w:rsidRPr="0030026E">
              <w:t>Provide advice to Government as required as a trusted advisor on Terrorism Risk</w:t>
            </w:r>
            <w:r w:rsidR="00814E19" w:rsidRPr="0030026E">
              <w:t xml:space="preserve"> Insurance</w:t>
            </w:r>
            <w:r w:rsidRPr="0030026E">
              <w:rPr>
                <w:rStyle w:val="ARPCTableBCReg"/>
                <w:rFonts w:ascii="Calibri Light" w:hAnsi="Calibri Light"/>
              </w:rPr>
              <w:t>. *</w:t>
            </w:r>
            <w:r w:rsidRPr="00A462DB">
              <w:rPr>
                <w:rStyle w:val="ARPCTableBCReg"/>
                <w:rFonts w:ascii="Calibri Light" w:hAnsi="Calibri Light"/>
                <w:b/>
              </w:rPr>
              <w:t>(KPI Area Four)</w:t>
            </w:r>
          </w:p>
          <w:p w14:paraId="3CCE0469" w14:textId="77777777" w:rsidR="00110191" w:rsidRPr="0030026E" w:rsidRDefault="00110191" w:rsidP="0030026E">
            <w:pPr>
              <w:pStyle w:val="ARPCTableBullet"/>
            </w:pPr>
            <w:r w:rsidRPr="0030026E">
              <w:t xml:space="preserve">Continue to raise awareness </w:t>
            </w:r>
            <w:r w:rsidR="009C1099" w:rsidRPr="0030026E">
              <w:t>of</w:t>
            </w:r>
            <w:r w:rsidRPr="0030026E">
              <w:t xml:space="preserve"> emerging terrorism risks</w:t>
            </w:r>
            <w:r w:rsidR="00412271" w:rsidRPr="0030026E">
              <w:t>, such as</w:t>
            </w:r>
            <w:r w:rsidRPr="0030026E">
              <w:t xml:space="preserve"> </w:t>
            </w:r>
            <w:r w:rsidR="00365D4C" w:rsidRPr="0030026E">
              <w:t>c</w:t>
            </w:r>
            <w:r w:rsidRPr="0030026E">
              <w:t>yber terrorism</w:t>
            </w:r>
            <w:r w:rsidRPr="0030026E">
              <w:rPr>
                <w:rStyle w:val="ARPCTableBCReg"/>
                <w:rFonts w:ascii="Calibri Light" w:hAnsi="Calibri Light"/>
              </w:rPr>
              <w:t>. *</w:t>
            </w:r>
            <w:r w:rsidRPr="00A462DB">
              <w:rPr>
                <w:rStyle w:val="ARPCTableBCReg"/>
                <w:rFonts w:ascii="Calibri Light" w:hAnsi="Calibri Light"/>
                <w:b/>
              </w:rPr>
              <w:t>(KPI Area Four)</w:t>
            </w:r>
          </w:p>
          <w:p w14:paraId="468BFA19" w14:textId="77777777" w:rsidR="00110191" w:rsidRDefault="00110191" w:rsidP="0030026E">
            <w:pPr>
              <w:pStyle w:val="ARPCTableBullet"/>
              <w:rPr>
                <w:sz w:val="20"/>
                <w:szCs w:val="20"/>
              </w:rPr>
            </w:pPr>
            <w:r w:rsidRPr="0030026E">
              <w:t>Continually review, identify and</w:t>
            </w:r>
            <w:r w:rsidR="00C54879" w:rsidRPr="0030026E">
              <w:t xml:space="preserve"> </w:t>
            </w:r>
            <w:r w:rsidR="00412271" w:rsidRPr="0030026E">
              <w:t>inform</w:t>
            </w:r>
            <w:r w:rsidRPr="0030026E">
              <w:t xml:space="preserve"> the market a</w:t>
            </w:r>
            <w:r w:rsidR="009C1099" w:rsidRPr="0030026E">
              <w:t>bout</w:t>
            </w:r>
            <w:r w:rsidRPr="0030026E">
              <w:t xml:space="preserve"> potential gaps in cover</w:t>
            </w:r>
            <w:r w:rsidRPr="0030026E">
              <w:rPr>
                <w:rStyle w:val="ARPCTableBCReg"/>
                <w:rFonts w:ascii="Calibri Light" w:hAnsi="Calibri Light"/>
              </w:rPr>
              <w:t>. *</w:t>
            </w:r>
            <w:r w:rsidRPr="00A462DB">
              <w:rPr>
                <w:rStyle w:val="ARPCTableBCReg"/>
                <w:rFonts w:ascii="Calibri Light" w:hAnsi="Calibri Light"/>
                <w:b/>
              </w:rPr>
              <w:t>(KPI Area Two)</w:t>
            </w:r>
          </w:p>
        </w:tc>
      </w:tr>
      <w:tr w:rsidR="00110191" w14:paraId="7E6BBB26" w14:textId="77777777" w:rsidTr="002F3B7E">
        <w:trPr>
          <w:trHeight w:val="411"/>
          <w:jc w:val="center"/>
        </w:trPr>
        <w:tc>
          <w:tcPr>
            <w:tcW w:w="1287" w:type="dxa"/>
            <w:tcBorders>
              <w:top w:val="single" w:sz="4" w:space="0" w:color="D9D9D9" w:themeColor="background2" w:themeShade="D9"/>
              <w:left w:val="nil"/>
              <w:bottom w:val="single" w:sz="4" w:space="0" w:color="D9D9D9" w:themeColor="background2" w:themeShade="D9"/>
              <w:right w:val="single" w:sz="4" w:space="0" w:color="D9D9D9" w:themeColor="background2" w:themeShade="D9"/>
            </w:tcBorders>
            <w:shd w:val="clear" w:color="auto" w:fill="F2F2F2" w:themeFill="background2" w:themeFillShade="F2"/>
            <w:hideMark/>
          </w:tcPr>
          <w:p w14:paraId="29DBBEEA" w14:textId="77777777" w:rsidR="00110191" w:rsidRDefault="00110191">
            <w:pPr>
              <w:pStyle w:val="ARPCTableBC"/>
            </w:pPr>
            <w:r>
              <w:t>Engage, understand and collaborate with stakeholders</w:t>
            </w:r>
          </w:p>
        </w:tc>
        <w:tc>
          <w:tcPr>
            <w:tcW w:w="7076" w:type="dxa"/>
            <w:tcBorders>
              <w:top w:val="single" w:sz="4" w:space="0" w:color="D9D9D9" w:themeColor="background2" w:themeShade="D9"/>
              <w:left w:val="single" w:sz="4" w:space="0" w:color="D9D9D9" w:themeColor="background2" w:themeShade="D9"/>
              <w:bottom w:val="single" w:sz="4" w:space="0" w:color="D9D9D9" w:themeColor="background2" w:themeShade="D9"/>
              <w:right w:val="nil"/>
            </w:tcBorders>
            <w:hideMark/>
          </w:tcPr>
          <w:p w14:paraId="6E37E289" w14:textId="77777777" w:rsidR="00110191" w:rsidRPr="0030026E" w:rsidRDefault="00110191" w:rsidP="0030026E">
            <w:pPr>
              <w:pStyle w:val="ARPCTableBullet"/>
            </w:pPr>
            <w:r w:rsidRPr="0030026E">
              <w:t>E</w:t>
            </w:r>
            <w:r w:rsidR="00412271" w:rsidRPr="0030026E">
              <w:t>nhance</w:t>
            </w:r>
            <w:r w:rsidRPr="0030026E">
              <w:t xml:space="preserve"> stakeholders</w:t>
            </w:r>
            <w:r w:rsidR="009F15F2" w:rsidRPr="0030026E">
              <w:t>’</w:t>
            </w:r>
            <w:r w:rsidRPr="0030026E">
              <w:t xml:space="preserve"> understanding of the role of </w:t>
            </w:r>
            <w:r w:rsidR="009C1099" w:rsidRPr="0030026E">
              <w:t>t</w:t>
            </w:r>
            <w:r w:rsidRPr="0030026E">
              <w:t xml:space="preserve">errorism </w:t>
            </w:r>
            <w:r w:rsidR="009C1099" w:rsidRPr="0030026E">
              <w:t>r</w:t>
            </w:r>
            <w:r w:rsidRPr="0030026E">
              <w:t>einsurance pooling</w:t>
            </w:r>
            <w:r w:rsidRPr="0030026E">
              <w:rPr>
                <w:rStyle w:val="ARPCTableBCReg"/>
                <w:rFonts w:ascii="Calibri Light" w:hAnsi="Calibri Light"/>
              </w:rPr>
              <w:t>. *</w:t>
            </w:r>
            <w:r w:rsidRPr="00A462DB">
              <w:rPr>
                <w:rStyle w:val="ARPCTableBCReg"/>
                <w:rFonts w:ascii="Calibri Light" w:hAnsi="Calibri Light"/>
                <w:b/>
              </w:rPr>
              <w:t>(KPI Area One)</w:t>
            </w:r>
          </w:p>
          <w:p w14:paraId="70FA9635" w14:textId="77777777" w:rsidR="00110191" w:rsidRPr="0030026E" w:rsidRDefault="00110191" w:rsidP="0030026E">
            <w:pPr>
              <w:pStyle w:val="ARPCTableBullet"/>
            </w:pPr>
            <w:r w:rsidRPr="0030026E">
              <w:t>E</w:t>
            </w:r>
            <w:r w:rsidR="00412271" w:rsidRPr="0030026E">
              <w:t>xtend</w:t>
            </w:r>
            <w:r w:rsidRPr="0030026E">
              <w:t xml:space="preserve"> the stakeholder engagement plan to deepen relationships and </w:t>
            </w:r>
            <w:r w:rsidR="009C1099" w:rsidRPr="0030026E">
              <w:t xml:space="preserve">better </w:t>
            </w:r>
            <w:r w:rsidRPr="0030026E">
              <w:t xml:space="preserve">understand </w:t>
            </w:r>
            <w:r w:rsidR="007D5AD2" w:rsidRPr="0030026E">
              <w:t>stakeholder</w:t>
            </w:r>
            <w:r w:rsidRPr="0030026E">
              <w:t xml:space="preserve"> needs. </w:t>
            </w:r>
            <w:r w:rsidRPr="0030026E">
              <w:rPr>
                <w:rStyle w:val="ARPCTableBCReg"/>
                <w:rFonts w:ascii="Calibri Light" w:hAnsi="Calibri Light"/>
              </w:rPr>
              <w:t>*</w:t>
            </w:r>
            <w:r w:rsidRPr="00A462DB">
              <w:rPr>
                <w:rStyle w:val="ARPCTableBCReg"/>
                <w:rFonts w:ascii="Calibri Light" w:hAnsi="Calibri Light"/>
                <w:b/>
              </w:rPr>
              <w:t>(KPI Area One)</w:t>
            </w:r>
          </w:p>
          <w:p w14:paraId="58615395" w14:textId="77777777" w:rsidR="00110191" w:rsidRPr="0030026E" w:rsidRDefault="00110191" w:rsidP="0030026E">
            <w:pPr>
              <w:pStyle w:val="ARPCTableBullet"/>
            </w:pPr>
            <w:r w:rsidRPr="0030026E">
              <w:t xml:space="preserve">Deliver the annual Terrorism Risk Insurance </w:t>
            </w:r>
            <w:r w:rsidR="009C1099" w:rsidRPr="0030026E">
              <w:t>S</w:t>
            </w:r>
            <w:r w:rsidRPr="0030026E">
              <w:t xml:space="preserve">eminar to drive additional understanding and introduce new and emerging trends. </w:t>
            </w:r>
            <w:r w:rsidRPr="0030026E">
              <w:rPr>
                <w:rStyle w:val="ARPCTableBCReg"/>
                <w:rFonts w:ascii="Calibri Light" w:hAnsi="Calibri Light"/>
              </w:rPr>
              <w:t>*</w:t>
            </w:r>
            <w:r w:rsidRPr="00A462DB">
              <w:rPr>
                <w:rStyle w:val="ARPCTableBCReg"/>
                <w:rFonts w:ascii="Calibri Light" w:hAnsi="Calibri Light"/>
                <w:b/>
              </w:rPr>
              <w:t>(KPI Area One)</w:t>
            </w:r>
          </w:p>
          <w:p w14:paraId="28D05D5D" w14:textId="77777777" w:rsidR="00110191" w:rsidRPr="0030026E" w:rsidRDefault="00110191" w:rsidP="0030026E">
            <w:pPr>
              <w:pStyle w:val="ARPCTableBullet"/>
            </w:pPr>
            <w:r w:rsidRPr="0030026E">
              <w:t xml:space="preserve">Participate in national and international forums on terrorism </w:t>
            </w:r>
            <w:r w:rsidR="00814E19" w:rsidRPr="0030026E">
              <w:t xml:space="preserve">risk insurance </w:t>
            </w:r>
            <w:r w:rsidRPr="0030026E">
              <w:t xml:space="preserve">and catastrophe insurance and financing. </w:t>
            </w:r>
            <w:r w:rsidRPr="00A462DB">
              <w:rPr>
                <w:rStyle w:val="ARPCTableBCReg"/>
                <w:rFonts w:ascii="Calibri Light" w:hAnsi="Calibri Light"/>
                <w:b/>
              </w:rPr>
              <w:t>(KPI Area Two</w:t>
            </w:r>
            <w:r w:rsidRPr="00A462DB">
              <w:rPr>
                <w:b/>
              </w:rPr>
              <w:t>)</w:t>
            </w:r>
          </w:p>
          <w:p w14:paraId="5C9A7148" w14:textId="77777777" w:rsidR="00110191" w:rsidRPr="0030026E" w:rsidRDefault="00110191" w:rsidP="0030026E">
            <w:pPr>
              <w:pStyle w:val="ARPCTableBullet"/>
            </w:pPr>
            <w:r w:rsidRPr="0030026E">
              <w:t xml:space="preserve">Participate in discussions on terrorism risk with Australian government departments. </w:t>
            </w:r>
            <w:r w:rsidRPr="0030026E">
              <w:rPr>
                <w:rStyle w:val="ARPCTableBCReg"/>
                <w:rFonts w:ascii="Calibri Light" w:hAnsi="Calibri Light"/>
              </w:rPr>
              <w:t>*</w:t>
            </w:r>
            <w:r w:rsidRPr="00A462DB">
              <w:rPr>
                <w:rStyle w:val="ARPCTableBCReg"/>
                <w:rFonts w:ascii="Calibri Light" w:hAnsi="Calibri Light"/>
                <w:b/>
              </w:rPr>
              <w:t>(KPI Area Four)</w:t>
            </w:r>
          </w:p>
          <w:p w14:paraId="2BF8AF59" w14:textId="77777777" w:rsidR="00110191" w:rsidRPr="0030026E" w:rsidRDefault="00110191" w:rsidP="0030026E">
            <w:pPr>
              <w:pStyle w:val="ARPCTableBullet"/>
            </w:pPr>
            <w:r w:rsidRPr="0030026E">
              <w:t xml:space="preserve">Participate in the OECD High Level Advisory Board for the Financial Management of Large Scale Catastrophe. </w:t>
            </w:r>
            <w:r w:rsidRPr="00A462DB">
              <w:rPr>
                <w:rStyle w:val="ARPCTableBCReg"/>
                <w:rFonts w:ascii="Calibri Light" w:hAnsi="Calibri Light"/>
                <w:b/>
              </w:rPr>
              <w:t>(KPI Area Two)</w:t>
            </w:r>
          </w:p>
        </w:tc>
      </w:tr>
      <w:tr w:rsidR="00110191" w14:paraId="1DBD5E63" w14:textId="77777777" w:rsidTr="002F3B7E">
        <w:trPr>
          <w:trHeight w:val="411"/>
          <w:jc w:val="center"/>
        </w:trPr>
        <w:tc>
          <w:tcPr>
            <w:tcW w:w="1287" w:type="dxa"/>
            <w:tcBorders>
              <w:top w:val="single" w:sz="4" w:space="0" w:color="D9D9D9" w:themeColor="background2" w:themeShade="D9"/>
              <w:left w:val="nil"/>
              <w:bottom w:val="single" w:sz="4" w:space="0" w:color="D9D9D9" w:themeColor="background2" w:themeShade="D9"/>
              <w:right w:val="single" w:sz="4" w:space="0" w:color="D9D9D9" w:themeColor="background2" w:themeShade="D9"/>
            </w:tcBorders>
            <w:shd w:val="clear" w:color="auto" w:fill="F2F2F2" w:themeFill="background2" w:themeFillShade="F2"/>
            <w:hideMark/>
          </w:tcPr>
          <w:p w14:paraId="05F7AE7F" w14:textId="77777777" w:rsidR="00110191" w:rsidRDefault="00110191">
            <w:pPr>
              <w:pStyle w:val="ARPCTableBC"/>
            </w:pPr>
            <w:r>
              <w:lastRenderedPageBreak/>
              <w:t>Provide a world class response to terrorism incidents</w:t>
            </w:r>
          </w:p>
        </w:tc>
        <w:tc>
          <w:tcPr>
            <w:tcW w:w="7076" w:type="dxa"/>
            <w:tcBorders>
              <w:top w:val="single" w:sz="4" w:space="0" w:color="D9D9D9" w:themeColor="background2" w:themeShade="D9"/>
              <w:left w:val="single" w:sz="4" w:space="0" w:color="D9D9D9" w:themeColor="background2" w:themeShade="D9"/>
              <w:bottom w:val="single" w:sz="4" w:space="0" w:color="D9D9D9" w:themeColor="background2" w:themeShade="D9"/>
              <w:right w:val="nil"/>
            </w:tcBorders>
            <w:hideMark/>
          </w:tcPr>
          <w:p w14:paraId="09EE0433" w14:textId="77777777" w:rsidR="00110191" w:rsidRPr="0030026E" w:rsidRDefault="00110191" w:rsidP="0030026E">
            <w:pPr>
              <w:pStyle w:val="ARPCTableBullet"/>
              <w:numPr>
                <w:ilvl w:val="0"/>
                <w:numId w:val="20"/>
              </w:numPr>
              <w:ind w:left="303" w:hanging="303"/>
              <w:rPr>
                <w:rStyle w:val="ARPCTableBCReg"/>
              </w:rPr>
            </w:pPr>
            <w:r w:rsidRPr="0030026E">
              <w:rPr>
                <w:rStyle w:val="ARPCTableBCReg"/>
              </w:rPr>
              <w:t>Continue loss estimate modelling development for blasts and biochemical events throughout Australia. *</w:t>
            </w:r>
            <w:r w:rsidRPr="00A462DB">
              <w:rPr>
                <w:rStyle w:val="ARPCTableBCReg"/>
                <w:b/>
              </w:rPr>
              <w:t>(KPI Area Two)</w:t>
            </w:r>
          </w:p>
          <w:p w14:paraId="0B23C5A3" w14:textId="77777777" w:rsidR="00110191" w:rsidRPr="0030026E" w:rsidRDefault="00110191" w:rsidP="0030026E">
            <w:pPr>
              <w:pStyle w:val="ARPCTableBullet"/>
              <w:numPr>
                <w:ilvl w:val="0"/>
                <w:numId w:val="20"/>
              </w:numPr>
              <w:ind w:left="303" w:hanging="303"/>
              <w:rPr>
                <w:rStyle w:val="ARPCTableBCReg"/>
              </w:rPr>
            </w:pPr>
            <w:r w:rsidRPr="0030026E">
              <w:rPr>
                <w:rStyle w:val="ARPCTableBCReg"/>
              </w:rPr>
              <w:t xml:space="preserve">Purchase retrocession </w:t>
            </w:r>
            <w:r w:rsidR="00814E19" w:rsidRPr="0030026E">
              <w:rPr>
                <w:rStyle w:val="ARPCTableBCReg"/>
              </w:rPr>
              <w:t xml:space="preserve">reinsurance </w:t>
            </w:r>
            <w:r w:rsidRPr="0030026E">
              <w:rPr>
                <w:rStyle w:val="ARPCTableBCReg"/>
              </w:rPr>
              <w:t>to increase ARPC’s total funds available for claims post a DTI</w:t>
            </w:r>
            <w:r w:rsidR="00932D8B" w:rsidRPr="0030026E">
              <w:rPr>
                <w:rStyle w:val="ARPCTableBCReg"/>
              </w:rPr>
              <w:t>,</w:t>
            </w:r>
            <w:r w:rsidRPr="0030026E">
              <w:rPr>
                <w:rStyle w:val="ARPCTableBCReg"/>
              </w:rPr>
              <w:t xml:space="preserve"> whil</w:t>
            </w:r>
            <w:r w:rsidR="00932D8B" w:rsidRPr="0030026E">
              <w:rPr>
                <w:rStyle w:val="ARPCTableBCReg"/>
              </w:rPr>
              <w:t>e</w:t>
            </w:r>
            <w:r w:rsidRPr="0030026E">
              <w:rPr>
                <w:rStyle w:val="ARPCTableBCReg"/>
              </w:rPr>
              <w:t xml:space="preserve"> </w:t>
            </w:r>
            <w:proofErr w:type="spellStart"/>
            <w:r w:rsidRPr="0030026E">
              <w:rPr>
                <w:rStyle w:val="ARPCTableBCReg"/>
              </w:rPr>
              <w:t>minimising</w:t>
            </w:r>
            <w:proofErr w:type="spellEnd"/>
            <w:r w:rsidRPr="0030026E">
              <w:rPr>
                <w:rStyle w:val="ARPCTableBCReg"/>
              </w:rPr>
              <w:t xml:space="preserve"> the need to call on the Commonwealth guarantee. *</w:t>
            </w:r>
            <w:r w:rsidRPr="00A462DB">
              <w:rPr>
                <w:rStyle w:val="ARPCTableBCReg"/>
                <w:b/>
              </w:rPr>
              <w:t>(KPI Area Two)</w:t>
            </w:r>
          </w:p>
          <w:p w14:paraId="7661BF06" w14:textId="77777777" w:rsidR="00110191" w:rsidRPr="0030026E" w:rsidRDefault="00110191" w:rsidP="0030026E">
            <w:pPr>
              <w:pStyle w:val="ARPCTableBullet"/>
              <w:numPr>
                <w:ilvl w:val="0"/>
                <w:numId w:val="20"/>
              </w:numPr>
              <w:ind w:left="303" w:hanging="303"/>
              <w:rPr>
                <w:rStyle w:val="ARPCTableBCReg"/>
              </w:rPr>
            </w:pPr>
            <w:r w:rsidRPr="0030026E">
              <w:rPr>
                <w:rStyle w:val="ARPCTableBCReg"/>
              </w:rPr>
              <w:t xml:space="preserve">Continuous improvement of </w:t>
            </w:r>
            <w:r w:rsidR="002A6438" w:rsidRPr="0030026E">
              <w:rPr>
                <w:rStyle w:val="ARPCTableBCReg"/>
              </w:rPr>
              <w:t>ARPC’s</w:t>
            </w:r>
            <w:r w:rsidRPr="0030026E">
              <w:rPr>
                <w:rStyle w:val="ARPCTableBCReg"/>
              </w:rPr>
              <w:t xml:space="preserve"> DTI Response Procedure. </w:t>
            </w:r>
            <w:r w:rsidRPr="00A462DB">
              <w:rPr>
                <w:rStyle w:val="ARPCTableBCReg"/>
                <w:b/>
              </w:rPr>
              <w:t>(KPI Area Four)</w:t>
            </w:r>
          </w:p>
          <w:p w14:paraId="1EEA4DF4" w14:textId="77777777" w:rsidR="00110191" w:rsidRPr="0030026E" w:rsidRDefault="00110191" w:rsidP="0030026E">
            <w:pPr>
              <w:pStyle w:val="ARPCTableBullet"/>
              <w:numPr>
                <w:ilvl w:val="0"/>
                <w:numId w:val="20"/>
              </w:numPr>
              <w:ind w:left="303" w:hanging="303"/>
              <w:rPr>
                <w:rStyle w:val="ARPCTableBCReg"/>
              </w:rPr>
            </w:pPr>
            <w:r w:rsidRPr="0030026E">
              <w:rPr>
                <w:rStyle w:val="ARPCTableBCReg"/>
              </w:rPr>
              <w:t>Continuous improvement of</w:t>
            </w:r>
            <w:r w:rsidR="002A6438" w:rsidRPr="0030026E">
              <w:rPr>
                <w:rStyle w:val="ARPCTableBCReg"/>
              </w:rPr>
              <w:t xml:space="preserve"> ARPC’s</w:t>
            </w:r>
            <w:r w:rsidRPr="0030026E">
              <w:rPr>
                <w:rStyle w:val="ARPCTableBCReg"/>
              </w:rPr>
              <w:t xml:space="preserve"> claims response plan. *</w:t>
            </w:r>
            <w:r w:rsidRPr="00A462DB">
              <w:rPr>
                <w:rStyle w:val="ARPCTableBCReg"/>
                <w:b/>
              </w:rPr>
              <w:t>(KPI Area Four)</w:t>
            </w:r>
          </w:p>
        </w:tc>
      </w:tr>
      <w:tr w:rsidR="00110191" w14:paraId="7589A4C0" w14:textId="77777777" w:rsidTr="002F3B7E">
        <w:trPr>
          <w:trHeight w:val="411"/>
          <w:jc w:val="center"/>
        </w:trPr>
        <w:tc>
          <w:tcPr>
            <w:tcW w:w="1287" w:type="dxa"/>
            <w:tcBorders>
              <w:top w:val="single" w:sz="4" w:space="0" w:color="D9D9D9" w:themeColor="background2" w:themeShade="D9"/>
              <w:left w:val="nil"/>
              <w:bottom w:val="single" w:sz="4" w:space="0" w:color="D9D9D9" w:themeColor="background2" w:themeShade="D9"/>
              <w:right w:val="single" w:sz="4" w:space="0" w:color="D9D9D9" w:themeColor="background2" w:themeShade="D9"/>
            </w:tcBorders>
            <w:shd w:val="clear" w:color="auto" w:fill="F2F2F2" w:themeFill="background2" w:themeFillShade="F2"/>
            <w:hideMark/>
          </w:tcPr>
          <w:p w14:paraId="04DAC027" w14:textId="77777777" w:rsidR="00110191" w:rsidRDefault="00110191">
            <w:pPr>
              <w:pStyle w:val="ARPCTableBC"/>
            </w:pPr>
            <w:r>
              <w:t>Embrace an</w:t>
            </w:r>
            <w:r w:rsidR="00455ED5">
              <w:t>d</w:t>
            </w:r>
            <w:r>
              <w:t xml:space="preserve"> evolve to a changing market environment</w:t>
            </w:r>
          </w:p>
        </w:tc>
        <w:tc>
          <w:tcPr>
            <w:tcW w:w="7076" w:type="dxa"/>
            <w:tcBorders>
              <w:top w:val="single" w:sz="4" w:space="0" w:color="D9D9D9" w:themeColor="background2" w:themeShade="D9"/>
              <w:left w:val="single" w:sz="4" w:space="0" w:color="D9D9D9" w:themeColor="background2" w:themeShade="D9"/>
              <w:bottom w:val="single" w:sz="4" w:space="0" w:color="D9D9D9" w:themeColor="background2" w:themeShade="D9"/>
              <w:right w:val="nil"/>
            </w:tcBorders>
            <w:hideMark/>
          </w:tcPr>
          <w:p w14:paraId="570A56E2" w14:textId="77777777" w:rsidR="00110191" w:rsidRPr="0030026E" w:rsidRDefault="00DD7305" w:rsidP="0030026E">
            <w:pPr>
              <w:pStyle w:val="ARPCTableBullet"/>
            </w:pPr>
            <w:r w:rsidRPr="0030026E">
              <w:t>Commence c</w:t>
            </w:r>
            <w:r w:rsidR="00110191" w:rsidRPr="0030026E">
              <w:t xml:space="preserve">yber terrorism research project to </w:t>
            </w:r>
            <w:r w:rsidR="00814E19" w:rsidRPr="0030026E">
              <w:t xml:space="preserve">increase </w:t>
            </w:r>
            <w:r w:rsidR="00110191" w:rsidRPr="0030026E">
              <w:t>understand</w:t>
            </w:r>
            <w:r w:rsidR="00814E19" w:rsidRPr="0030026E">
              <w:t xml:space="preserve">ing of </w:t>
            </w:r>
            <w:r w:rsidR="00110191" w:rsidRPr="0030026E">
              <w:t xml:space="preserve">the challenges facing the Australian </w:t>
            </w:r>
            <w:r w:rsidR="00814E19" w:rsidRPr="0030026E">
              <w:t xml:space="preserve">insurance </w:t>
            </w:r>
            <w:r w:rsidR="00110191" w:rsidRPr="0030026E">
              <w:t>market and the impact of these challenges. *</w:t>
            </w:r>
            <w:r w:rsidR="00110191" w:rsidRPr="00A462DB">
              <w:rPr>
                <w:b/>
              </w:rPr>
              <w:t>(KPI Area Four)</w:t>
            </w:r>
          </w:p>
          <w:p w14:paraId="42B3F737" w14:textId="77777777" w:rsidR="00110191" w:rsidRPr="0030026E" w:rsidRDefault="00DD7305" w:rsidP="0030026E">
            <w:pPr>
              <w:pStyle w:val="ARPCTableBullet"/>
            </w:pPr>
            <w:r w:rsidRPr="0030026E">
              <w:t>Undertake a</w:t>
            </w:r>
            <w:r w:rsidR="00784C44" w:rsidRPr="0030026E">
              <w:t xml:space="preserve">n ownership </w:t>
            </w:r>
            <w:r w:rsidR="00A71225" w:rsidRPr="0030026E">
              <w:t>model feasibility</w:t>
            </w:r>
            <w:r w:rsidR="00110191" w:rsidRPr="0030026E">
              <w:t xml:space="preserve"> </w:t>
            </w:r>
            <w:r w:rsidR="00A71225" w:rsidRPr="0030026E">
              <w:t xml:space="preserve">study </w:t>
            </w:r>
            <w:r w:rsidR="00814E19" w:rsidRPr="0030026E">
              <w:t xml:space="preserve">to evaluate </w:t>
            </w:r>
            <w:r w:rsidR="00A71225" w:rsidRPr="0030026E">
              <w:t>whether</w:t>
            </w:r>
            <w:r w:rsidR="00814E19" w:rsidRPr="0030026E">
              <w:t xml:space="preserve"> the pool can be transitioned </w:t>
            </w:r>
            <w:r w:rsidR="003453DB" w:rsidRPr="0030026E">
              <w:t>to an</w:t>
            </w:r>
            <w:r w:rsidR="00110191" w:rsidRPr="0030026E">
              <w:t xml:space="preserve"> industry</w:t>
            </w:r>
            <w:r w:rsidR="00A71225" w:rsidRPr="0030026E">
              <w:t>-</w:t>
            </w:r>
            <w:r w:rsidR="00110191" w:rsidRPr="0030026E">
              <w:t>owned mutual</w:t>
            </w:r>
            <w:r w:rsidR="00814E19" w:rsidRPr="0030026E">
              <w:t xml:space="preserve"> fund</w:t>
            </w:r>
            <w:r w:rsidR="00110191" w:rsidRPr="0030026E">
              <w:t>. *</w:t>
            </w:r>
            <w:r w:rsidR="00110191" w:rsidRPr="00A462DB">
              <w:rPr>
                <w:b/>
              </w:rPr>
              <w:t>(KPI Area Four)</w:t>
            </w:r>
          </w:p>
          <w:p w14:paraId="0D1FCE07" w14:textId="77777777" w:rsidR="00110191" w:rsidRPr="0030026E" w:rsidRDefault="00110191" w:rsidP="0030026E">
            <w:pPr>
              <w:pStyle w:val="ARPCTableBullet"/>
              <w:rPr>
                <w:rStyle w:val="ARPCTableBCReg"/>
                <w:rFonts w:ascii="Calibri Light" w:hAnsi="Calibri Light"/>
              </w:rPr>
            </w:pPr>
            <w:r w:rsidRPr="0030026E">
              <w:t>Continual review and upgrad</w:t>
            </w:r>
            <w:r w:rsidR="00814E19" w:rsidRPr="0030026E">
              <w:t>e</w:t>
            </w:r>
            <w:r w:rsidRPr="0030026E">
              <w:t xml:space="preserve"> </w:t>
            </w:r>
            <w:r w:rsidR="002C18A6" w:rsidRPr="0030026E">
              <w:t xml:space="preserve">of </w:t>
            </w:r>
            <w:r w:rsidR="00412271" w:rsidRPr="0030026E">
              <w:t>the</w:t>
            </w:r>
            <w:r w:rsidRPr="0030026E">
              <w:t xml:space="preserve"> IT environment to </w:t>
            </w:r>
            <w:proofErr w:type="spellStart"/>
            <w:r w:rsidRPr="0030026E">
              <w:t>maximise</w:t>
            </w:r>
            <w:proofErr w:type="spellEnd"/>
            <w:r w:rsidRPr="0030026E">
              <w:t xml:space="preserve"> operational effectiveness using Cloud services. *</w:t>
            </w:r>
            <w:r w:rsidRPr="00A462DB">
              <w:rPr>
                <w:b/>
              </w:rPr>
              <w:t>(KPI Area Four)</w:t>
            </w:r>
            <w:r w:rsidRPr="00A462DB">
              <w:rPr>
                <w:rStyle w:val="CommentReference"/>
                <w:b/>
                <w:sz w:val="22"/>
                <w:szCs w:val="22"/>
              </w:rPr>
              <w:t xml:space="preserve"> </w:t>
            </w:r>
          </w:p>
          <w:p w14:paraId="182F9C3E" w14:textId="77777777" w:rsidR="00110191" w:rsidRPr="0030026E" w:rsidRDefault="00110191" w:rsidP="0030026E">
            <w:pPr>
              <w:pStyle w:val="ARPCTableBullet"/>
            </w:pPr>
            <w:r w:rsidRPr="0030026E">
              <w:t xml:space="preserve">Maintain postcode changes and rating tiers for accurate pricing. </w:t>
            </w:r>
            <w:r w:rsidRPr="00A462DB">
              <w:rPr>
                <w:b/>
              </w:rPr>
              <w:t>(KPI Area Three)</w:t>
            </w:r>
          </w:p>
        </w:tc>
      </w:tr>
      <w:tr w:rsidR="00110191" w14:paraId="7A007731" w14:textId="77777777" w:rsidTr="002F3B7E">
        <w:trPr>
          <w:trHeight w:val="411"/>
          <w:jc w:val="center"/>
        </w:trPr>
        <w:tc>
          <w:tcPr>
            <w:tcW w:w="1287" w:type="dxa"/>
            <w:tcBorders>
              <w:top w:val="single" w:sz="4" w:space="0" w:color="D9D9D9" w:themeColor="background2" w:themeShade="D9"/>
              <w:left w:val="nil"/>
              <w:bottom w:val="single" w:sz="4" w:space="0" w:color="D9D9D9" w:themeColor="background2" w:themeShade="D9"/>
              <w:right w:val="single" w:sz="4" w:space="0" w:color="D9D9D9" w:themeColor="background2" w:themeShade="D9"/>
            </w:tcBorders>
            <w:shd w:val="clear" w:color="auto" w:fill="F2F2F2" w:themeFill="background2" w:themeFillShade="F2"/>
            <w:hideMark/>
          </w:tcPr>
          <w:p w14:paraId="3C825CBA" w14:textId="77777777" w:rsidR="00110191" w:rsidRDefault="00110191">
            <w:pPr>
              <w:pStyle w:val="ARPCTableBC"/>
            </w:pPr>
            <w:r>
              <w:t xml:space="preserve">Enhance and strengthen resilience and preparedness of our people and </w:t>
            </w:r>
            <w:proofErr w:type="spellStart"/>
            <w:r>
              <w:t>organisation</w:t>
            </w:r>
            <w:proofErr w:type="spellEnd"/>
          </w:p>
        </w:tc>
        <w:tc>
          <w:tcPr>
            <w:tcW w:w="7076" w:type="dxa"/>
            <w:tcBorders>
              <w:top w:val="single" w:sz="4" w:space="0" w:color="D9D9D9" w:themeColor="background2" w:themeShade="D9"/>
              <w:left w:val="single" w:sz="4" w:space="0" w:color="D9D9D9" w:themeColor="background2" w:themeShade="D9"/>
              <w:bottom w:val="single" w:sz="4" w:space="0" w:color="D9D9D9" w:themeColor="background2" w:themeShade="D9"/>
              <w:right w:val="nil"/>
            </w:tcBorders>
            <w:hideMark/>
          </w:tcPr>
          <w:p w14:paraId="702C1286" w14:textId="77777777" w:rsidR="00110191" w:rsidRPr="0030026E" w:rsidRDefault="00110191" w:rsidP="0030026E">
            <w:pPr>
              <w:pStyle w:val="ARPCTableBullet"/>
            </w:pPr>
            <w:r w:rsidRPr="0030026E">
              <w:t xml:space="preserve">Continue </w:t>
            </w:r>
            <w:r w:rsidR="00814E19" w:rsidRPr="0030026E">
              <w:t xml:space="preserve">professional development for </w:t>
            </w:r>
            <w:r w:rsidRPr="0030026E">
              <w:t>staff</w:t>
            </w:r>
            <w:r w:rsidRPr="00AB4E17">
              <w:rPr>
                <w:b/>
              </w:rPr>
              <w:t>. (KPI Four)</w:t>
            </w:r>
          </w:p>
          <w:p w14:paraId="65CF9F68" w14:textId="77777777" w:rsidR="00110191" w:rsidRPr="0030026E" w:rsidRDefault="00110191" w:rsidP="0030026E">
            <w:pPr>
              <w:pStyle w:val="ARPCTableBullet"/>
            </w:pPr>
            <w:r w:rsidRPr="0030026E">
              <w:t>Expan</w:t>
            </w:r>
            <w:r w:rsidR="002C18A6" w:rsidRPr="0030026E">
              <w:t>d</w:t>
            </w:r>
            <w:r w:rsidRPr="0030026E">
              <w:t xml:space="preserve"> modelling capability to include Geospatial modelling *</w:t>
            </w:r>
            <w:r w:rsidRPr="00A462DB">
              <w:rPr>
                <w:b/>
              </w:rPr>
              <w:t>(KPI Area Four)</w:t>
            </w:r>
          </w:p>
          <w:p w14:paraId="69233504" w14:textId="77777777" w:rsidR="00110191" w:rsidRPr="0030026E" w:rsidRDefault="00110191" w:rsidP="0030026E">
            <w:pPr>
              <w:pStyle w:val="ARPCTableBullet"/>
              <w:rPr>
                <w:rStyle w:val="ARPCTableBCReg"/>
                <w:rFonts w:ascii="Calibri Light" w:hAnsi="Calibri Light"/>
              </w:rPr>
            </w:pPr>
            <w:r w:rsidRPr="0030026E">
              <w:t>Review approach to ARPC’s storage (</w:t>
            </w:r>
            <w:proofErr w:type="spellStart"/>
            <w:r w:rsidR="0006614D" w:rsidRPr="0030026E">
              <w:t>d</w:t>
            </w:r>
            <w:r w:rsidRPr="0030026E">
              <w:t>igitisation</w:t>
            </w:r>
            <w:proofErr w:type="spellEnd"/>
            <w:r w:rsidRPr="0030026E">
              <w:t>) and use of Intellectual Property. *</w:t>
            </w:r>
            <w:r w:rsidRPr="00A462DB">
              <w:rPr>
                <w:rStyle w:val="ARPCTableBCReg"/>
                <w:rFonts w:ascii="Calibri Light" w:hAnsi="Calibri Light"/>
                <w:b/>
              </w:rPr>
              <w:t>(KPI Area Four)</w:t>
            </w:r>
          </w:p>
          <w:p w14:paraId="06B5CB4D" w14:textId="77777777" w:rsidR="00110191" w:rsidRPr="0030026E" w:rsidRDefault="00015437" w:rsidP="0030026E">
            <w:pPr>
              <w:pStyle w:val="ARPCTableBullet"/>
            </w:pPr>
            <w:r w:rsidRPr="0030026E">
              <w:t xml:space="preserve">Update </w:t>
            </w:r>
            <w:r w:rsidR="00412271" w:rsidRPr="0030026E">
              <w:t>the</w:t>
            </w:r>
            <w:r w:rsidRPr="0030026E">
              <w:t xml:space="preserve"> </w:t>
            </w:r>
            <w:r w:rsidR="00110191" w:rsidRPr="0030026E">
              <w:t xml:space="preserve">Capital Management Policy to support ARPC’s financial sustainability. </w:t>
            </w:r>
            <w:r w:rsidR="00110191" w:rsidRPr="00A462DB">
              <w:rPr>
                <w:rStyle w:val="ARPCTableBCReg"/>
                <w:rFonts w:ascii="Calibri Light" w:hAnsi="Calibri Light"/>
                <w:b/>
              </w:rPr>
              <w:t>(KPI Area Four)</w:t>
            </w:r>
          </w:p>
          <w:p w14:paraId="0744EB38" w14:textId="77777777" w:rsidR="00110191" w:rsidRPr="0030026E" w:rsidRDefault="00015437" w:rsidP="0030026E">
            <w:pPr>
              <w:pStyle w:val="ARPCTableBullet"/>
            </w:pPr>
            <w:r w:rsidRPr="0030026E">
              <w:t xml:space="preserve">Make </w:t>
            </w:r>
            <w:r w:rsidR="00110191" w:rsidRPr="0030026E">
              <w:t>payments to government as per Ministerial Direction.</w:t>
            </w:r>
            <w:r w:rsidR="00110191" w:rsidRPr="00A462DB">
              <w:rPr>
                <w:b/>
              </w:rPr>
              <w:t xml:space="preserve"> </w:t>
            </w:r>
            <w:r w:rsidR="00110191" w:rsidRPr="00A462DB">
              <w:rPr>
                <w:rStyle w:val="ARPCTableBCReg"/>
                <w:rFonts w:ascii="Calibri Light" w:hAnsi="Calibri Light"/>
                <w:b/>
              </w:rPr>
              <w:t>(KPI Area Three)</w:t>
            </w:r>
          </w:p>
        </w:tc>
      </w:tr>
    </w:tbl>
    <w:p w14:paraId="7EE98750" w14:textId="77777777" w:rsidR="005D60A5" w:rsidRDefault="005D60A5" w:rsidP="005D60A5">
      <w:pPr>
        <w:pStyle w:val="Bodytext"/>
      </w:pPr>
    </w:p>
    <w:p w14:paraId="5FF8F349" w14:textId="77777777" w:rsidR="0040514F" w:rsidRDefault="0040514F">
      <w:pPr>
        <w:spacing w:after="0"/>
        <w:rPr>
          <w:rFonts w:ascii="Trebuchet MS" w:eastAsiaTheme="majorEastAsia" w:hAnsi="Trebuchet MS" w:cstheme="majorBidi"/>
          <w:caps/>
          <w:color w:val="056CB6" w:themeColor="accent3"/>
          <w:sz w:val="28"/>
          <w:szCs w:val="28"/>
        </w:rPr>
      </w:pPr>
      <w:r>
        <w:br w:type="page"/>
      </w:r>
    </w:p>
    <w:p w14:paraId="6C9A0EA9" w14:textId="77777777" w:rsidR="00101236" w:rsidRPr="00FC3B06" w:rsidRDefault="00F17995">
      <w:pPr>
        <w:pStyle w:val="Heading3"/>
      </w:pPr>
      <w:bookmarkStart w:id="240" w:name="_Toc522221651"/>
      <w:r>
        <w:lastRenderedPageBreak/>
        <w:t>Staff Capability</w:t>
      </w:r>
      <w:bookmarkEnd w:id="240"/>
    </w:p>
    <w:p w14:paraId="6D314CBF" w14:textId="77777777" w:rsidR="00101236" w:rsidRDefault="00101236" w:rsidP="00101236">
      <w:pPr>
        <w:pStyle w:val="ARPCBodyCopy"/>
        <w:rPr>
          <w:lang w:val="en-AU"/>
        </w:rPr>
      </w:pPr>
      <w:r>
        <w:rPr>
          <w:lang w:val="en-AU"/>
        </w:rPr>
        <w:t xml:space="preserve">ARPC’s success is heavily dependent on the quality and commitment </w:t>
      </w:r>
      <w:r w:rsidR="00C54619">
        <w:rPr>
          <w:lang w:val="en-AU"/>
        </w:rPr>
        <w:t xml:space="preserve">of </w:t>
      </w:r>
      <w:r>
        <w:rPr>
          <w:lang w:val="en-AU"/>
        </w:rPr>
        <w:t xml:space="preserve">staff and their ability to deliver </w:t>
      </w:r>
      <w:r w:rsidR="00C54619">
        <w:rPr>
          <w:lang w:val="en-AU"/>
        </w:rPr>
        <w:t xml:space="preserve">on ARPC’s </w:t>
      </w:r>
      <w:r w:rsidR="00EA0684">
        <w:rPr>
          <w:lang w:val="en-AU"/>
        </w:rPr>
        <w:t>p</w:t>
      </w:r>
      <w:r w:rsidR="00C54619">
        <w:rPr>
          <w:lang w:val="en-AU"/>
        </w:rPr>
        <w:t>urpose and strategic priorities.</w:t>
      </w:r>
    </w:p>
    <w:p w14:paraId="175A3632" w14:textId="77777777" w:rsidR="0040514F" w:rsidRPr="0040514F" w:rsidRDefault="002878A5" w:rsidP="0040514F">
      <w:pPr>
        <w:pStyle w:val="Bullet"/>
        <w:numPr>
          <w:ilvl w:val="0"/>
          <w:numId w:val="0"/>
        </w:numPr>
        <w:ind w:left="1"/>
        <w:rPr>
          <w:rFonts w:ascii="Calibri" w:hAnsi="Calibri"/>
          <w:i/>
        </w:rPr>
      </w:pPr>
      <w:r>
        <w:t xml:space="preserve">Workforce and succession planning </w:t>
      </w:r>
      <w:r w:rsidR="00EA0684">
        <w:t>are</w:t>
      </w:r>
      <w:r w:rsidR="000566F8">
        <w:t xml:space="preserve"> undertaken to ensure </w:t>
      </w:r>
      <w:r>
        <w:t>ARPC has staff with suitable capabilities to undertake core functions during business as usual periods and i</w:t>
      </w:r>
      <w:r w:rsidRPr="0040514F">
        <w:t>n the event of a DTI</w:t>
      </w:r>
      <w:r w:rsidR="00412271">
        <w:t>.</w:t>
      </w:r>
      <w:r w:rsidR="00915645">
        <w:t xml:space="preserve"> </w:t>
      </w:r>
      <w:r w:rsidR="00412271" w:rsidRPr="00D3202C">
        <w:t>S</w:t>
      </w:r>
      <w:r w:rsidR="0040514F" w:rsidRPr="00D3202C">
        <w:t>ee</w:t>
      </w:r>
      <w:r w:rsidR="0040514F" w:rsidRPr="00C54879">
        <w:rPr>
          <w:i/>
        </w:rPr>
        <w:t xml:space="preserve"> Figure </w:t>
      </w:r>
      <w:r w:rsidR="0092576C" w:rsidRPr="00C54879">
        <w:rPr>
          <w:i/>
        </w:rPr>
        <w:t>4</w:t>
      </w:r>
      <w:r w:rsidR="0040514F" w:rsidRPr="00C54879">
        <w:rPr>
          <w:i/>
        </w:rPr>
        <w:t>.</w:t>
      </w:r>
      <w:r w:rsidR="0092576C" w:rsidRPr="00C54879">
        <w:rPr>
          <w:i/>
        </w:rPr>
        <w:t>3</w:t>
      </w:r>
      <w:r w:rsidR="0040514F" w:rsidRPr="0040514F">
        <w:t xml:space="preserve"> </w:t>
      </w:r>
      <w:r w:rsidR="00D3202C">
        <w:t xml:space="preserve">to view the </w:t>
      </w:r>
      <w:r w:rsidR="0040514F" w:rsidRPr="0040514F">
        <w:t>Organisational Chart as at June 2018</w:t>
      </w:r>
      <w:r w:rsidR="0006614D">
        <w:t>.</w:t>
      </w:r>
    </w:p>
    <w:p w14:paraId="7ADDEAE9" w14:textId="77777777" w:rsidR="00101236" w:rsidRPr="00F80D2C" w:rsidRDefault="00101236" w:rsidP="00101236">
      <w:pPr>
        <w:pStyle w:val="ARPCBodyCopy"/>
        <w:rPr>
          <w:lang w:val="en-AU"/>
        </w:rPr>
      </w:pPr>
      <w:r w:rsidRPr="3EE44551">
        <w:rPr>
          <w:lang w:val="en-AU"/>
        </w:rPr>
        <w:t>The primary</w:t>
      </w:r>
      <w:r w:rsidR="00412271">
        <w:rPr>
          <w:lang w:val="en-AU"/>
        </w:rPr>
        <w:t xml:space="preserve"> staff </w:t>
      </w:r>
      <w:r w:rsidRPr="3EE44551">
        <w:rPr>
          <w:lang w:val="en-AU"/>
        </w:rPr>
        <w:t>capabilities within ARPC include:</w:t>
      </w:r>
    </w:p>
    <w:p w14:paraId="2E89E92D" w14:textId="77777777" w:rsidR="00101236" w:rsidRPr="00A462DB" w:rsidRDefault="00101236" w:rsidP="00A462DB">
      <w:pPr>
        <w:pStyle w:val="BulletL1"/>
      </w:pPr>
      <w:r w:rsidRPr="00A462DB">
        <w:t>staff trained to respond to a DTI (</w:t>
      </w:r>
      <w:r w:rsidR="004F3557" w:rsidRPr="00A462DB">
        <w:t>for example</w:t>
      </w:r>
      <w:r w:rsidR="00C413F6" w:rsidRPr="00A462DB">
        <w:t xml:space="preserve"> </w:t>
      </w:r>
      <w:r w:rsidRPr="00A462DB">
        <w:t>communications, operations, claims handling, customer interaction, corporate governance and security)</w:t>
      </w:r>
      <w:r w:rsidR="0040514F" w:rsidRPr="00A462DB">
        <w:t>;</w:t>
      </w:r>
    </w:p>
    <w:p w14:paraId="7BC338FD" w14:textId="77777777" w:rsidR="00822B6E" w:rsidRPr="00A462DB" w:rsidRDefault="00822B6E" w:rsidP="00A462DB">
      <w:pPr>
        <w:pStyle w:val="BulletL1"/>
      </w:pPr>
      <w:r w:rsidRPr="00A462DB">
        <w:t>insurance and reinsurance expertise;</w:t>
      </w:r>
    </w:p>
    <w:p w14:paraId="0B6E335B" w14:textId="77777777" w:rsidR="00101236" w:rsidRPr="00A462DB" w:rsidRDefault="00101236" w:rsidP="00A462DB">
      <w:pPr>
        <w:pStyle w:val="BulletL1"/>
      </w:pPr>
      <w:r w:rsidRPr="00A462DB">
        <w:t>experienced external market liaison staff</w:t>
      </w:r>
      <w:r w:rsidR="0040514F" w:rsidRPr="00A462DB">
        <w:t>;</w:t>
      </w:r>
    </w:p>
    <w:p w14:paraId="1DB4DDD6" w14:textId="77777777" w:rsidR="00101236" w:rsidRPr="00A462DB" w:rsidRDefault="00101236" w:rsidP="00A462DB">
      <w:pPr>
        <w:pStyle w:val="BulletL1"/>
      </w:pPr>
      <w:r w:rsidRPr="00A462DB">
        <w:t>government regulations expertise</w:t>
      </w:r>
      <w:r w:rsidR="0040514F" w:rsidRPr="00A462DB">
        <w:t>;</w:t>
      </w:r>
    </w:p>
    <w:p w14:paraId="3EAF21ED" w14:textId="77777777" w:rsidR="00101236" w:rsidRPr="00A462DB" w:rsidRDefault="00101236" w:rsidP="00A462DB">
      <w:pPr>
        <w:pStyle w:val="BulletL1"/>
      </w:pPr>
      <w:r w:rsidRPr="00A462DB">
        <w:t>financial management expertise</w:t>
      </w:r>
      <w:r w:rsidR="0040514F" w:rsidRPr="00A462DB">
        <w:t>;</w:t>
      </w:r>
    </w:p>
    <w:p w14:paraId="5FB54A00" w14:textId="77777777" w:rsidR="00101236" w:rsidRPr="00A462DB" w:rsidRDefault="00101236" w:rsidP="00A462DB">
      <w:pPr>
        <w:pStyle w:val="BulletL1"/>
      </w:pPr>
      <w:r w:rsidRPr="00A462DB">
        <w:t>communications expertise</w:t>
      </w:r>
      <w:r w:rsidR="0040514F" w:rsidRPr="00A462DB">
        <w:t>; and</w:t>
      </w:r>
    </w:p>
    <w:p w14:paraId="48E4D816" w14:textId="77777777" w:rsidR="00101236" w:rsidRPr="00A462DB" w:rsidRDefault="00101236" w:rsidP="00A462DB">
      <w:pPr>
        <w:pStyle w:val="BulletL1"/>
      </w:pPr>
      <w:r w:rsidRPr="00A462DB">
        <w:t>technology expertise (to enable delivery).</w:t>
      </w:r>
    </w:p>
    <w:p w14:paraId="0E42A806" w14:textId="77777777" w:rsidR="00340FCC" w:rsidRDefault="00AC791E" w:rsidP="00340FCC">
      <w:pPr>
        <w:pStyle w:val="Heading3"/>
      </w:pPr>
      <w:bookmarkStart w:id="241" w:name="_Toc518251587"/>
      <w:bookmarkStart w:id="242" w:name="_Toc522221652"/>
      <w:bookmarkStart w:id="243" w:name="_Toc513732542"/>
      <w:r>
        <w:t>ARPC’s</w:t>
      </w:r>
      <w:r w:rsidR="0092576C">
        <w:t xml:space="preserve"> </w:t>
      </w:r>
      <w:r w:rsidR="00D63D02">
        <w:t>structure</w:t>
      </w:r>
      <w:bookmarkEnd w:id="241"/>
      <w:bookmarkEnd w:id="242"/>
    </w:p>
    <w:p w14:paraId="2E34B477" w14:textId="77777777" w:rsidR="00340FCC" w:rsidRPr="00B57ECE" w:rsidRDefault="00340FCC" w:rsidP="00340FCC">
      <w:pPr>
        <w:pStyle w:val="ARPCBodyCopy"/>
        <w:rPr>
          <w:lang w:val="en-AU"/>
        </w:rPr>
      </w:pPr>
      <w:r w:rsidRPr="3EE44551">
        <w:rPr>
          <w:lang w:val="en-AU"/>
        </w:rPr>
        <w:t>ARPC promotes a values-based approach to its workforce and decisio</w:t>
      </w:r>
      <w:r>
        <w:rPr>
          <w:lang w:val="en-AU"/>
        </w:rPr>
        <w:t>n-making. ARPC v</w:t>
      </w:r>
      <w:r w:rsidRPr="3EE44551">
        <w:rPr>
          <w:lang w:val="en-AU"/>
        </w:rPr>
        <w:t>alues place an emphasis o</w:t>
      </w:r>
      <w:r>
        <w:rPr>
          <w:lang w:val="en-AU"/>
        </w:rPr>
        <w:t xml:space="preserve">n ‘Delivering for stakeholders’ </w:t>
      </w:r>
      <w:r w:rsidR="004F3557">
        <w:rPr>
          <w:lang w:val="en-AU"/>
        </w:rPr>
        <w:t>and our resulting o</w:t>
      </w:r>
      <w:r w:rsidRPr="3EE44551">
        <w:rPr>
          <w:lang w:val="en-AU"/>
        </w:rPr>
        <w:t>rganisational structure supports a focus on engaging with stakeholders</w:t>
      </w:r>
      <w:r w:rsidR="001F39E8">
        <w:rPr>
          <w:lang w:val="en-AU"/>
        </w:rPr>
        <w:t xml:space="preserve">. These stakeholders </w:t>
      </w:r>
      <w:r w:rsidR="007033D2">
        <w:rPr>
          <w:lang w:val="en-AU"/>
        </w:rPr>
        <w:t xml:space="preserve">include the Federal Government, </w:t>
      </w:r>
      <w:r w:rsidRPr="3EE44551">
        <w:rPr>
          <w:lang w:val="en-AU"/>
        </w:rPr>
        <w:t>State and</w:t>
      </w:r>
      <w:r w:rsidR="004F3557">
        <w:rPr>
          <w:lang w:val="en-AU"/>
        </w:rPr>
        <w:t xml:space="preserve"> Territory governments</w:t>
      </w:r>
      <w:r>
        <w:rPr>
          <w:lang w:val="en-AU"/>
        </w:rPr>
        <w:t xml:space="preserve"> as well as the</w:t>
      </w:r>
      <w:r w:rsidRPr="3EE44551">
        <w:rPr>
          <w:lang w:val="en-AU"/>
        </w:rPr>
        <w:t xml:space="preserve"> insurance, reinsurance, investment and property sectors.</w:t>
      </w:r>
    </w:p>
    <w:p w14:paraId="36FBFB3E" w14:textId="77777777" w:rsidR="00340FCC" w:rsidRPr="004F3557" w:rsidRDefault="00340FCC" w:rsidP="004F3557">
      <w:pPr>
        <w:pStyle w:val="ARPCBodyCopy"/>
        <w:rPr>
          <w:lang w:val="en-AU"/>
        </w:rPr>
      </w:pPr>
      <w:r w:rsidRPr="004F3557">
        <w:rPr>
          <w:lang w:val="en-AU"/>
        </w:rPr>
        <w:t xml:space="preserve">ARPC aspires to connect, develop, and empower all staff to execute meaningful work. </w:t>
      </w:r>
      <w:r w:rsidR="00AC791E" w:rsidRPr="004F3557">
        <w:rPr>
          <w:lang w:val="en-AU"/>
        </w:rPr>
        <w:t>The</w:t>
      </w:r>
      <w:r w:rsidRPr="004F3557">
        <w:rPr>
          <w:lang w:val="en-AU"/>
        </w:rPr>
        <w:t xml:space="preserve"> organisational structure has been designed to support this aspiration.</w:t>
      </w:r>
    </w:p>
    <w:p w14:paraId="7BE25455" w14:textId="77777777" w:rsidR="00340FCC" w:rsidRDefault="00340FCC">
      <w:pPr>
        <w:spacing w:after="0"/>
        <w:rPr>
          <w:rStyle w:val="Figure"/>
          <w:rFonts w:cs="Times New Roman"/>
          <w:szCs w:val="21"/>
        </w:rPr>
      </w:pPr>
      <w:r>
        <w:rPr>
          <w:rStyle w:val="Figure"/>
        </w:rPr>
        <w:br w:type="page"/>
      </w:r>
    </w:p>
    <w:p w14:paraId="34CA46C7" w14:textId="77777777" w:rsidR="00340FCC" w:rsidRPr="005F7837" w:rsidRDefault="00340FCC" w:rsidP="00340FCC">
      <w:pPr>
        <w:pStyle w:val="Bodytext"/>
        <w:rPr>
          <w:rStyle w:val="Figure"/>
        </w:rPr>
      </w:pPr>
      <w:r w:rsidRPr="005F7837">
        <w:rPr>
          <w:rStyle w:val="Figure"/>
        </w:rPr>
        <w:lastRenderedPageBreak/>
        <w:t xml:space="preserve">Figure </w:t>
      </w:r>
      <w:r w:rsidR="0092576C">
        <w:rPr>
          <w:rStyle w:val="Figure"/>
        </w:rPr>
        <w:t>4.3</w:t>
      </w:r>
      <w:r w:rsidRPr="005F7837">
        <w:rPr>
          <w:rStyle w:val="Figure"/>
        </w:rPr>
        <w:t xml:space="preserve">: </w:t>
      </w:r>
      <w:r>
        <w:rPr>
          <w:rStyle w:val="Figure"/>
        </w:rPr>
        <w:t>O</w:t>
      </w:r>
      <w:r w:rsidRPr="005F7837">
        <w:rPr>
          <w:rStyle w:val="Figure"/>
        </w:rPr>
        <w:t xml:space="preserve">rganisational </w:t>
      </w:r>
      <w:r w:rsidR="00566DE7">
        <w:rPr>
          <w:rStyle w:val="Figure"/>
        </w:rPr>
        <w:t>C</w:t>
      </w:r>
      <w:r w:rsidRPr="005F7837">
        <w:rPr>
          <w:rStyle w:val="Figure"/>
        </w:rPr>
        <w:t xml:space="preserve">hart </w:t>
      </w:r>
    </w:p>
    <w:p w14:paraId="4F0A0A8C" w14:textId="77777777" w:rsidR="00340FCC" w:rsidRPr="005F7837" w:rsidRDefault="00A462DB" w:rsidP="00340FCC">
      <w:pPr>
        <w:pStyle w:val="Bodytext"/>
        <w:rPr>
          <w:rStyle w:val="Figure"/>
        </w:rPr>
      </w:pPr>
      <w:r>
        <w:rPr>
          <w:b/>
          <w:noProof/>
          <w:color w:val="184C8D"/>
          <w:sz w:val="20"/>
          <w:lang w:eastAsia="en-AU"/>
        </w:rPr>
        <w:drawing>
          <wp:inline distT="0" distB="0" distL="0" distR="0" wp14:anchorId="6B25E6FC" wp14:editId="281B3C06">
            <wp:extent cx="5274310" cy="5351780"/>
            <wp:effectExtent l="0" t="0" r="2540" b="1270"/>
            <wp:docPr id="23" name="Picture 23" descr="Organisational Chart" title="Figure 4.3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RPC Organisational chart Aug18.jpg"/>
                    <pic:cNvPicPr/>
                  </pic:nvPicPr>
                  <pic:blipFill>
                    <a:blip r:embed="rId26"/>
                    <a:stretch>
                      <a:fillRect/>
                    </a:stretch>
                  </pic:blipFill>
                  <pic:spPr>
                    <a:xfrm>
                      <a:off x="0" y="0"/>
                      <a:ext cx="5274310" cy="5351780"/>
                    </a:xfrm>
                    <a:prstGeom prst="rect">
                      <a:avLst/>
                    </a:prstGeom>
                  </pic:spPr>
                </pic:pic>
              </a:graphicData>
            </a:graphic>
          </wp:inline>
        </w:drawing>
      </w:r>
    </w:p>
    <w:p w14:paraId="4F4376EC" w14:textId="77777777" w:rsidR="00AC59E1" w:rsidRDefault="00AC59E1">
      <w:pPr>
        <w:spacing w:after="0"/>
        <w:rPr>
          <w:rFonts w:ascii="Trebuchet MS" w:eastAsiaTheme="majorEastAsia" w:hAnsi="Trebuchet MS" w:cstheme="majorBidi"/>
          <w:caps/>
          <w:color w:val="056CB6" w:themeColor="accent3"/>
          <w:sz w:val="28"/>
          <w:szCs w:val="28"/>
        </w:rPr>
      </w:pPr>
      <w:r>
        <w:br w:type="page"/>
      </w:r>
    </w:p>
    <w:p w14:paraId="6A36224F" w14:textId="77777777" w:rsidR="00AC59E1" w:rsidRPr="00FC3B06" w:rsidRDefault="00AC791E" w:rsidP="00AC59E1">
      <w:pPr>
        <w:pStyle w:val="Heading3"/>
      </w:pPr>
      <w:bookmarkStart w:id="244" w:name="_Toc518251588"/>
      <w:bookmarkStart w:id="245" w:name="_Toc522221653"/>
      <w:r>
        <w:lastRenderedPageBreak/>
        <w:t>ARPC’s</w:t>
      </w:r>
      <w:r w:rsidR="00377111">
        <w:t xml:space="preserve"> values</w:t>
      </w:r>
      <w:bookmarkEnd w:id="244"/>
      <w:bookmarkEnd w:id="245"/>
    </w:p>
    <w:p w14:paraId="39CF2417" w14:textId="77777777" w:rsidR="000F22A5" w:rsidRDefault="00AC59E1" w:rsidP="00B57ECE">
      <w:pPr>
        <w:pStyle w:val="ARPCBodyCopy"/>
        <w:rPr>
          <w:szCs w:val="21"/>
        </w:rPr>
      </w:pPr>
      <w:r>
        <w:rPr>
          <w:szCs w:val="21"/>
        </w:rPr>
        <w:t xml:space="preserve">ARPC strives for a collaborative and high achieving culture underpinned by integrity, personal leadership and continuous professional development. These values support the strategy and are fundamental to the success of the </w:t>
      </w:r>
      <w:proofErr w:type="spellStart"/>
      <w:r>
        <w:rPr>
          <w:szCs w:val="21"/>
        </w:rPr>
        <w:t>organisation</w:t>
      </w:r>
      <w:proofErr w:type="spellEnd"/>
      <w:r>
        <w:rPr>
          <w:szCs w:val="21"/>
        </w:rPr>
        <w:t>. These values</w:t>
      </w:r>
      <w:r w:rsidR="00AC791E">
        <w:rPr>
          <w:szCs w:val="21"/>
        </w:rPr>
        <w:t xml:space="preserve">, outlined in </w:t>
      </w:r>
      <w:r w:rsidR="00303F04" w:rsidRPr="00C54879">
        <w:rPr>
          <w:i/>
          <w:szCs w:val="21"/>
        </w:rPr>
        <w:t>Figure</w:t>
      </w:r>
      <w:r w:rsidR="00C54879" w:rsidRPr="00C54879">
        <w:rPr>
          <w:i/>
          <w:szCs w:val="21"/>
        </w:rPr>
        <w:t xml:space="preserve"> 4.4</w:t>
      </w:r>
      <w:r w:rsidR="00AC791E">
        <w:rPr>
          <w:szCs w:val="21"/>
        </w:rPr>
        <w:t>,</w:t>
      </w:r>
      <w:r>
        <w:rPr>
          <w:szCs w:val="21"/>
        </w:rPr>
        <w:t xml:space="preserve"> also support the ARPC Code of Conduct.</w:t>
      </w:r>
    </w:p>
    <w:p w14:paraId="5AA855B4" w14:textId="77777777" w:rsidR="00C54879" w:rsidRDefault="00C54879" w:rsidP="00B57ECE">
      <w:pPr>
        <w:pStyle w:val="ARPCBodyCopy"/>
        <w:rPr>
          <w:lang w:val="en-AU"/>
        </w:rPr>
      </w:pPr>
    </w:p>
    <w:p w14:paraId="06ECC1F2" w14:textId="77777777" w:rsidR="00C54879" w:rsidRPr="005F7837" w:rsidRDefault="00C54879" w:rsidP="00C54879">
      <w:pPr>
        <w:pStyle w:val="Bodytext"/>
        <w:rPr>
          <w:rStyle w:val="Figure"/>
        </w:rPr>
      </w:pPr>
      <w:r w:rsidRPr="005F7837">
        <w:rPr>
          <w:rStyle w:val="Figure"/>
        </w:rPr>
        <w:t xml:space="preserve">Figure </w:t>
      </w:r>
      <w:r>
        <w:rPr>
          <w:rStyle w:val="Figure"/>
        </w:rPr>
        <w:t>4.4</w:t>
      </w:r>
      <w:r w:rsidRPr="005F7837">
        <w:rPr>
          <w:rStyle w:val="Figure"/>
        </w:rPr>
        <w:t xml:space="preserve">: </w:t>
      </w:r>
      <w:r>
        <w:rPr>
          <w:rStyle w:val="Figure"/>
        </w:rPr>
        <w:t>ARPC’s Values</w:t>
      </w:r>
    </w:p>
    <w:p w14:paraId="43D91570" w14:textId="77777777" w:rsidR="00E90299" w:rsidRPr="00FC6A5C" w:rsidRDefault="00AC59E1" w:rsidP="00D555BB">
      <w:pPr>
        <w:pStyle w:val="ARPCBodyCopy"/>
      </w:pPr>
      <w:r>
        <w:rPr>
          <w:noProof/>
          <w:lang w:val="en-AU" w:eastAsia="en-AU"/>
        </w:rPr>
        <w:drawing>
          <wp:inline distT="0" distB="0" distL="0" distR="0" wp14:anchorId="37DA6A01" wp14:editId="51216834">
            <wp:extent cx="5274310" cy="4564380"/>
            <wp:effectExtent l="0" t="0" r="2540" b="7620"/>
            <wp:docPr id="1460700310" name="picture" descr="ARPC's value" title="Figure 4.4 Diagram"/>
            <wp:cNvGraphicFramePr/>
            <a:graphic xmlns:a="http://schemas.openxmlformats.org/drawingml/2006/main">
              <a:graphicData uri="http://schemas.openxmlformats.org/drawingml/2006/picture">
                <pic:pic xmlns:pic="http://schemas.openxmlformats.org/drawingml/2006/picture">
                  <pic:nvPicPr>
                    <pic:cNvPr id="146070031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5274310" cy="4564380"/>
                    </a:xfrm>
                    <a:prstGeom prst="rect">
                      <a:avLst/>
                    </a:prstGeom>
                  </pic:spPr>
                </pic:pic>
              </a:graphicData>
            </a:graphic>
          </wp:inline>
        </w:drawing>
      </w:r>
      <w:bookmarkEnd w:id="243"/>
      <w:r w:rsidR="009516A4">
        <w:br w:type="page"/>
      </w:r>
      <w:bookmarkEnd w:id="31"/>
    </w:p>
    <w:p w14:paraId="7A185030" w14:textId="77777777" w:rsidR="00E90299" w:rsidRPr="0079426F" w:rsidRDefault="0079426F" w:rsidP="005F7837">
      <w:pPr>
        <w:pStyle w:val="Heading1"/>
      </w:pPr>
      <w:bookmarkStart w:id="246" w:name="_Toc518251589"/>
      <w:bookmarkStart w:id="247" w:name="_Toc522221654"/>
      <w:r w:rsidRPr="005F7837">
        <w:rPr>
          <w:noProof/>
          <w:lang w:eastAsia="en-AU"/>
        </w:rPr>
        <w:lastRenderedPageBreak/>
        <w:drawing>
          <wp:anchor distT="0" distB="0" distL="114300" distR="114300" simplePos="0" relativeHeight="251658245" behindDoc="1" locked="0" layoutInCell="1" allowOverlap="1" wp14:anchorId="09A76371" wp14:editId="759EA3A4">
            <wp:simplePos x="0" y="0"/>
            <wp:positionH relativeFrom="margin">
              <wp:posOffset>-1139825</wp:posOffset>
            </wp:positionH>
            <wp:positionV relativeFrom="paragraph">
              <wp:posOffset>-1733550</wp:posOffset>
            </wp:positionV>
            <wp:extent cx="7559675" cy="7531735"/>
            <wp:effectExtent l="0" t="0" r="3175" b="0"/>
            <wp:wrapNone/>
            <wp:docPr id="379979722" name="Picture 379979722" title="Section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Page.jpg"/>
                    <pic:cNvPicPr/>
                  </pic:nvPicPr>
                  <pic:blipFill>
                    <a:blip r:embed="rId17">
                      <a:extLst>
                        <a:ext uri="{28A0092B-C50C-407E-A947-70E740481C1C}">
                          <a14:useLocalDpi xmlns:a14="http://schemas.microsoft.com/office/drawing/2010/main" val="0"/>
                        </a:ext>
                      </a:extLst>
                    </a:blip>
                    <a:stretch>
                      <a:fillRect/>
                    </a:stretch>
                  </pic:blipFill>
                  <pic:spPr>
                    <a:xfrm>
                      <a:off x="0" y="0"/>
                      <a:ext cx="7559675" cy="7531735"/>
                    </a:xfrm>
                    <a:prstGeom prst="rect">
                      <a:avLst/>
                    </a:prstGeom>
                  </pic:spPr>
                </pic:pic>
              </a:graphicData>
            </a:graphic>
            <wp14:sizeRelH relativeFrom="page">
              <wp14:pctWidth>0</wp14:pctWidth>
            </wp14:sizeRelH>
            <wp14:sizeRelV relativeFrom="page">
              <wp14:pctHeight>0</wp14:pctHeight>
            </wp14:sizeRelV>
          </wp:anchor>
        </w:drawing>
      </w:r>
      <w:r w:rsidR="00E90299" w:rsidRPr="0079426F">
        <w:t>RISK OVERSIGHT AND MANAGEMENT</w:t>
      </w:r>
      <w:bookmarkEnd w:id="246"/>
      <w:bookmarkEnd w:id="247"/>
    </w:p>
    <w:p w14:paraId="11C92DDD" w14:textId="77777777" w:rsidR="00E90299" w:rsidRPr="00FC6A5C" w:rsidRDefault="00E90299" w:rsidP="005F7837">
      <w:bookmarkStart w:id="248" w:name="_Toc513214497"/>
      <w:bookmarkStart w:id="249" w:name="_Toc513559343"/>
      <w:bookmarkStart w:id="250" w:name="_Toc513722798"/>
      <w:bookmarkStart w:id="251" w:name="_Toc513722877"/>
      <w:r w:rsidRPr="00DF44C4">
        <w:br w:type="page"/>
      </w:r>
    </w:p>
    <w:p w14:paraId="6DF12477" w14:textId="77777777" w:rsidR="00544106" w:rsidRDefault="00922F5A">
      <w:pPr>
        <w:pStyle w:val="Heading2"/>
      </w:pPr>
      <w:bookmarkStart w:id="252" w:name="_Toc516064814"/>
      <w:r>
        <w:rPr>
          <w:caps w:val="0"/>
        </w:rPr>
        <w:lastRenderedPageBreak/>
        <w:t>RISK OVERSIGHT AND MANAGEMENT</w:t>
      </w:r>
      <w:bookmarkEnd w:id="248"/>
      <w:bookmarkEnd w:id="249"/>
      <w:bookmarkEnd w:id="250"/>
      <w:bookmarkEnd w:id="251"/>
      <w:bookmarkEnd w:id="252"/>
      <w:r>
        <w:rPr>
          <w:caps w:val="0"/>
        </w:rPr>
        <w:t xml:space="preserve"> </w:t>
      </w:r>
    </w:p>
    <w:p w14:paraId="5710D760" w14:textId="77777777" w:rsidR="00544106" w:rsidRPr="00D91E85" w:rsidRDefault="00544106" w:rsidP="00544106">
      <w:pPr>
        <w:pStyle w:val="ARPCBodyCopy"/>
        <w:rPr>
          <w:lang w:val="en-AU"/>
        </w:rPr>
      </w:pPr>
      <w:r w:rsidRPr="3EE44551">
        <w:rPr>
          <w:lang w:val="en-AU"/>
        </w:rPr>
        <w:t xml:space="preserve">ARPC </w:t>
      </w:r>
      <w:r w:rsidR="00C3217F">
        <w:rPr>
          <w:lang w:val="en-AU"/>
        </w:rPr>
        <w:t xml:space="preserve">is </w:t>
      </w:r>
      <w:r w:rsidRPr="3EE44551">
        <w:rPr>
          <w:lang w:val="en-AU"/>
        </w:rPr>
        <w:t>committed</w:t>
      </w:r>
      <w:r w:rsidR="00C3217F">
        <w:rPr>
          <w:lang w:val="en-AU"/>
        </w:rPr>
        <w:t xml:space="preserve"> </w:t>
      </w:r>
      <w:r w:rsidRPr="3EE44551">
        <w:rPr>
          <w:lang w:val="en-AU"/>
        </w:rPr>
        <w:t xml:space="preserve">to a comprehensive, coordinated and systematic approach to risk management. Effective risk management has a critical role in all organisational decisions. </w:t>
      </w:r>
    </w:p>
    <w:p w14:paraId="3C235850" w14:textId="77777777" w:rsidR="00544106" w:rsidRPr="00D91E85" w:rsidRDefault="00544106" w:rsidP="00544106">
      <w:pPr>
        <w:pStyle w:val="ARPCBodyCopy"/>
        <w:rPr>
          <w:lang w:val="en-AU"/>
        </w:rPr>
      </w:pPr>
      <w:r w:rsidRPr="3EE44551">
        <w:rPr>
          <w:lang w:val="en-AU"/>
        </w:rPr>
        <w:t xml:space="preserve">ARPC’s approach to risk management </w:t>
      </w:r>
      <w:r w:rsidR="00C5412F">
        <w:rPr>
          <w:lang w:val="en-AU"/>
        </w:rPr>
        <w:t>involves</w:t>
      </w:r>
      <w:r w:rsidRPr="3EE44551">
        <w:rPr>
          <w:lang w:val="en-AU"/>
        </w:rPr>
        <w:t xml:space="preserve"> </w:t>
      </w:r>
      <w:r w:rsidR="00FF2C9C">
        <w:rPr>
          <w:lang w:val="en-AU"/>
        </w:rPr>
        <w:t xml:space="preserve">supporting </w:t>
      </w:r>
      <w:r w:rsidR="002B4E43">
        <w:rPr>
          <w:lang w:val="en-AU"/>
        </w:rPr>
        <w:t xml:space="preserve">all </w:t>
      </w:r>
      <w:r w:rsidR="007A0232">
        <w:rPr>
          <w:lang w:val="en-AU"/>
        </w:rPr>
        <w:t>staff</w:t>
      </w:r>
      <w:r w:rsidRPr="3EE44551">
        <w:rPr>
          <w:lang w:val="en-AU"/>
        </w:rPr>
        <w:t xml:space="preserve"> to anticipate uncertain events, identify opportunities and respond appropriately to potential weaknesses. This includes: </w:t>
      </w:r>
    </w:p>
    <w:p w14:paraId="32FFD81E" w14:textId="77777777" w:rsidR="00544106" w:rsidRPr="00A014F8" w:rsidRDefault="00544106" w:rsidP="00A014F8">
      <w:pPr>
        <w:pStyle w:val="BulletL1"/>
      </w:pPr>
      <w:r w:rsidRPr="00A014F8">
        <w:t>harnessing resources to more effectively manage risks which may prevent ARPC from achieving its objectives</w:t>
      </w:r>
      <w:r w:rsidR="009F74E3" w:rsidRPr="00A014F8">
        <w:t>;</w:t>
      </w:r>
    </w:p>
    <w:p w14:paraId="1C12D5AF" w14:textId="77777777" w:rsidR="00544106" w:rsidRPr="00A014F8" w:rsidRDefault="00544106" w:rsidP="00A014F8">
      <w:pPr>
        <w:pStyle w:val="BulletL1"/>
      </w:pPr>
      <w:r w:rsidRPr="00A014F8">
        <w:t>protecting people</w:t>
      </w:r>
      <w:r w:rsidR="009F74E3" w:rsidRPr="00A014F8">
        <w:t>; and</w:t>
      </w:r>
    </w:p>
    <w:p w14:paraId="199C6BCD" w14:textId="77777777" w:rsidR="00544106" w:rsidRPr="00A014F8" w:rsidRDefault="00544106" w:rsidP="00A014F8">
      <w:pPr>
        <w:pStyle w:val="BulletL1"/>
      </w:pPr>
      <w:r w:rsidRPr="00A014F8">
        <w:t>managing assets, resources and the environment in an efficient, effective, economical and ethical manner.</w:t>
      </w:r>
      <w:bookmarkStart w:id="253" w:name="_Toc422757854"/>
    </w:p>
    <w:p w14:paraId="20E0470E" w14:textId="77777777" w:rsidR="00544106" w:rsidRPr="00A259B2" w:rsidRDefault="00544106">
      <w:pPr>
        <w:pStyle w:val="Heading3"/>
      </w:pPr>
      <w:bookmarkStart w:id="254" w:name="ROM_EnterpriseRisk"/>
      <w:bookmarkStart w:id="255" w:name="_Toc513214498"/>
      <w:bookmarkStart w:id="256" w:name="_Toc518251590"/>
      <w:bookmarkStart w:id="257" w:name="_Toc522221655"/>
      <w:bookmarkStart w:id="258" w:name="_Toc365707985"/>
      <w:bookmarkStart w:id="259" w:name="_Toc486588176"/>
      <w:bookmarkStart w:id="260" w:name="_Toc486596694"/>
      <w:bookmarkEnd w:id="254"/>
      <w:r>
        <w:t xml:space="preserve">Enterprise </w:t>
      </w:r>
      <w:bookmarkEnd w:id="255"/>
      <w:r w:rsidR="00377111">
        <w:t>risk management framework</w:t>
      </w:r>
      <w:bookmarkEnd w:id="256"/>
      <w:bookmarkEnd w:id="257"/>
      <w:r>
        <w:t xml:space="preserve"> </w:t>
      </w:r>
      <w:bookmarkEnd w:id="253"/>
      <w:bookmarkEnd w:id="258"/>
      <w:bookmarkEnd w:id="259"/>
      <w:bookmarkEnd w:id="260"/>
    </w:p>
    <w:p w14:paraId="5712A4AC" w14:textId="77777777" w:rsidR="00544106" w:rsidRPr="00D91E85" w:rsidRDefault="00AC791E" w:rsidP="00544106">
      <w:pPr>
        <w:pStyle w:val="ARPCBodyCopy"/>
        <w:rPr>
          <w:lang w:val="en-AU"/>
        </w:rPr>
      </w:pPr>
      <w:r>
        <w:rPr>
          <w:lang w:val="en-AU"/>
        </w:rPr>
        <w:t>As</w:t>
      </w:r>
      <w:r w:rsidR="00544106" w:rsidRPr="3EE44551">
        <w:rPr>
          <w:lang w:val="en-AU"/>
        </w:rPr>
        <w:t xml:space="preserve"> a Public Financial Corporation</w:t>
      </w:r>
      <w:r>
        <w:rPr>
          <w:lang w:val="en-AU"/>
        </w:rPr>
        <w:t xml:space="preserve"> under the PGPA Act, </w:t>
      </w:r>
      <w:r w:rsidR="00B32550">
        <w:rPr>
          <w:lang w:val="en-AU"/>
        </w:rPr>
        <w:t xml:space="preserve">ARPC </w:t>
      </w:r>
      <w:r w:rsidR="00B32550" w:rsidRPr="3EE44551">
        <w:rPr>
          <w:lang w:val="en-AU"/>
        </w:rPr>
        <w:t>has</w:t>
      </w:r>
      <w:r w:rsidR="00544106" w:rsidRPr="3EE44551">
        <w:rPr>
          <w:lang w:val="en-AU"/>
        </w:rPr>
        <w:t xml:space="preserve"> an obligation to establish risk management systems and controls. The Enterprise Risk Management Framework (ERMF) assists ARPC in meeting its risk management obligations under the PGPA Act. The ERMF includes the Risk Management Strategy, as approved and adopted by the Board, the Risk Management Plan and Risk Policy Statement.</w:t>
      </w:r>
    </w:p>
    <w:p w14:paraId="01444A5B" w14:textId="77777777" w:rsidR="00544106" w:rsidRPr="00D91E85" w:rsidRDefault="00544106" w:rsidP="00544106">
      <w:pPr>
        <w:pStyle w:val="ARPCBodyCopy"/>
        <w:rPr>
          <w:lang w:val="en-AU"/>
        </w:rPr>
      </w:pPr>
      <w:r w:rsidRPr="3EE44551">
        <w:rPr>
          <w:lang w:val="en-AU"/>
        </w:rPr>
        <w:t xml:space="preserve">ARPC undertakes a Fraud Risk Assessment at least every two years, which is </w:t>
      </w:r>
      <w:r w:rsidR="007C71C5">
        <w:rPr>
          <w:lang w:val="en-AU"/>
        </w:rPr>
        <w:t>reviewed</w:t>
      </w:r>
      <w:r w:rsidR="007C71C5" w:rsidRPr="3EE44551">
        <w:rPr>
          <w:lang w:val="en-AU"/>
        </w:rPr>
        <w:t xml:space="preserve"> </w:t>
      </w:r>
      <w:r w:rsidRPr="3EE44551">
        <w:rPr>
          <w:lang w:val="en-AU"/>
        </w:rPr>
        <w:t xml:space="preserve">by an independent external consultant. This requirement complies with ARPC’s Fraud Control Policy, which also documents the internal controls established within the organisation to mitigate fraud occurrence. </w:t>
      </w:r>
    </w:p>
    <w:p w14:paraId="33E53FCE" w14:textId="77777777" w:rsidR="00544106" w:rsidRPr="00D91E85" w:rsidRDefault="00544106" w:rsidP="00544106">
      <w:pPr>
        <w:pStyle w:val="ARPCBodyCopy"/>
        <w:rPr>
          <w:lang w:val="en-AU"/>
        </w:rPr>
      </w:pPr>
      <w:r w:rsidRPr="3EE44551">
        <w:rPr>
          <w:lang w:val="en-AU"/>
        </w:rPr>
        <w:t xml:space="preserve">As a Public Financial Corporation, ARPC is not required to comply with the Commonwealth Risk Management Policy, however, APRC’s ERMF has incorporated the Commonwealth’s nine elements of risk management as a matter of </w:t>
      </w:r>
      <w:r w:rsidR="00C638B6">
        <w:rPr>
          <w:lang w:val="en-AU"/>
        </w:rPr>
        <w:t>best</w:t>
      </w:r>
      <w:r w:rsidR="00376C25" w:rsidRPr="3EE44551">
        <w:rPr>
          <w:lang w:val="en-AU"/>
        </w:rPr>
        <w:t xml:space="preserve"> </w:t>
      </w:r>
      <w:r w:rsidRPr="3EE44551">
        <w:rPr>
          <w:lang w:val="en-AU"/>
        </w:rPr>
        <w:t xml:space="preserve">practice. The ERMF incorporates the Risk Management Policy Statement which states that ARPC will manage risk in accordance with the international risk management standard AS/NZS/ISO 31000:2009 Risk Management—Principles and Guidelines. </w:t>
      </w:r>
    </w:p>
    <w:p w14:paraId="7CCD84E5" w14:textId="77777777" w:rsidR="00544106" w:rsidRPr="00544106" w:rsidRDefault="00544106">
      <w:pPr>
        <w:pStyle w:val="Heading4"/>
      </w:pPr>
      <w:bookmarkStart w:id="261" w:name="_Toc422757855"/>
      <w:bookmarkStart w:id="262" w:name="_Toc486588177"/>
      <w:bookmarkStart w:id="263" w:name="_Toc486596695"/>
      <w:bookmarkStart w:id="264" w:name="_Toc365707986"/>
      <w:bookmarkStart w:id="265" w:name="_Toc513214499"/>
      <w:r w:rsidRPr="00544106">
        <w:t>Risk Management Plan</w:t>
      </w:r>
      <w:bookmarkEnd w:id="261"/>
      <w:bookmarkEnd w:id="262"/>
      <w:bookmarkEnd w:id="263"/>
      <w:bookmarkEnd w:id="264"/>
      <w:bookmarkEnd w:id="265"/>
    </w:p>
    <w:p w14:paraId="73704055" w14:textId="77777777" w:rsidR="00544106" w:rsidRPr="00D91E85" w:rsidRDefault="00544106" w:rsidP="00544106">
      <w:pPr>
        <w:pStyle w:val="ARPCBodyCopy"/>
        <w:rPr>
          <w:lang w:val="en-AU"/>
        </w:rPr>
      </w:pPr>
      <w:r w:rsidRPr="3EE44551">
        <w:rPr>
          <w:lang w:val="en-AU"/>
        </w:rPr>
        <w:t>Based on the ERMF, ARPC has a Risk Management Plan, which specifies the approach, management components and risk management resources to be applied to risk at ARPC. This includes the procedures, practices, assignment of responsibilities and risk management timing and sequencing.</w:t>
      </w:r>
    </w:p>
    <w:p w14:paraId="3460FE22" w14:textId="77777777" w:rsidR="00BD417E" w:rsidRDefault="00BD417E" w:rsidP="009516A4">
      <w:pPr>
        <w:pStyle w:val="Heading4"/>
      </w:pPr>
      <w:bookmarkStart w:id="266" w:name="ROM_RiskManagementPlan"/>
      <w:bookmarkStart w:id="267" w:name="ROM_Accountabilities"/>
      <w:bookmarkStart w:id="268" w:name="_Toc422757856"/>
      <w:bookmarkStart w:id="269" w:name="_Toc486588178"/>
      <w:bookmarkStart w:id="270" w:name="_Toc486596696"/>
      <w:bookmarkStart w:id="271" w:name="_Toc365707987"/>
      <w:bookmarkStart w:id="272" w:name="_Toc513214500"/>
      <w:bookmarkEnd w:id="266"/>
      <w:bookmarkEnd w:id="267"/>
      <w:r>
        <w:br w:type="page"/>
      </w:r>
    </w:p>
    <w:p w14:paraId="08021E92" w14:textId="77777777" w:rsidR="00544106" w:rsidRPr="00A259B2" w:rsidRDefault="00544106">
      <w:pPr>
        <w:pStyle w:val="Heading4"/>
      </w:pPr>
      <w:r>
        <w:lastRenderedPageBreak/>
        <w:t>Accountabilities</w:t>
      </w:r>
      <w:bookmarkEnd w:id="268"/>
      <w:bookmarkEnd w:id="269"/>
      <w:bookmarkEnd w:id="270"/>
      <w:bookmarkEnd w:id="271"/>
      <w:bookmarkEnd w:id="272"/>
    </w:p>
    <w:p w14:paraId="545B6DB3" w14:textId="77777777" w:rsidR="00544106" w:rsidRPr="008B7913" w:rsidRDefault="00544106" w:rsidP="00544106">
      <w:pPr>
        <w:pStyle w:val="ARPCBodyCopy"/>
        <w:rPr>
          <w:lang w:val="en-AU"/>
        </w:rPr>
      </w:pPr>
      <w:r w:rsidRPr="3EE44551">
        <w:rPr>
          <w:lang w:val="en-AU"/>
        </w:rPr>
        <w:t>As the accountable authority, the ARPC Board has overall responsibility for providing strategic direction, risk oversight and setting the organisation’s risk appetite and tolerance. Risk accountability is also outlined in the ERMF.</w:t>
      </w:r>
    </w:p>
    <w:p w14:paraId="528C61BD" w14:textId="77777777" w:rsidR="00544106" w:rsidRPr="00D91E85" w:rsidRDefault="00544106" w:rsidP="00544106">
      <w:pPr>
        <w:pStyle w:val="ARPCBodyCopy"/>
        <w:rPr>
          <w:lang w:val="en-AU"/>
        </w:rPr>
      </w:pPr>
      <w:r w:rsidRPr="3EE44551">
        <w:rPr>
          <w:lang w:val="en-AU"/>
        </w:rPr>
        <w:t xml:space="preserve">The ARPC Board has a standing agenda item to examine risk at each Board meeting. Under section 17 of the PGPA Act, the ARPC Audit and Compliance Committee is responsible for reviewing the appropriateness of ARPC’s risk management systems and internal controls. ARPC’s internal controls are routinely reviewed by ARPC’s Internal Auditor which </w:t>
      </w:r>
      <w:r w:rsidR="00DE7076">
        <w:rPr>
          <w:lang w:val="en-AU"/>
        </w:rPr>
        <w:t>is present</w:t>
      </w:r>
      <w:r w:rsidR="00F32A09">
        <w:rPr>
          <w:lang w:val="en-AU"/>
        </w:rPr>
        <w:t>ly an external organisation</w:t>
      </w:r>
      <w:r w:rsidR="007A0232">
        <w:rPr>
          <w:lang w:val="en-AU"/>
        </w:rPr>
        <w:t>.</w:t>
      </w:r>
      <w:r w:rsidRPr="3EE44551">
        <w:rPr>
          <w:lang w:val="en-AU"/>
        </w:rPr>
        <w:t xml:space="preserve"> ARPC’s financial statements are audited annually by the Australian National Audit Office and published in the ARPC Annual Report. </w:t>
      </w:r>
    </w:p>
    <w:p w14:paraId="6E8E7735" w14:textId="77777777" w:rsidR="00544106" w:rsidRPr="00A259B2" w:rsidRDefault="00544106">
      <w:pPr>
        <w:pStyle w:val="Heading3"/>
      </w:pPr>
      <w:bookmarkStart w:id="273" w:name="ROM_RiskAppetite"/>
      <w:bookmarkStart w:id="274" w:name="_Toc422757857"/>
      <w:bookmarkStart w:id="275" w:name="_Toc486588179"/>
      <w:bookmarkStart w:id="276" w:name="_Toc486596697"/>
      <w:bookmarkStart w:id="277" w:name="_Toc365707988"/>
      <w:bookmarkStart w:id="278" w:name="_Toc513214501"/>
      <w:bookmarkStart w:id="279" w:name="_Toc518251591"/>
      <w:bookmarkStart w:id="280" w:name="_Toc522221656"/>
      <w:bookmarkEnd w:id="273"/>
      <w:r>
        <w:t>Risk appetite and tolerance statements</w:t>
      </w:r>
      <w:bookmarkEnd w:id="274"/>
      <w:bookmarkEnd w:id="275"/>
      <w:bookmarkEnd w:id="276"/>
      <w:bookmarkEnd w:id="277"/>
      <w:bookmarkEnd w:id="278"/>
      <w:bookmarkEnd w:id="279"/>
      <w:bookmarkEnd w:id="280"/>
    </w:p>
    <w:p w14:paraId="6A802D81" w14:textId="77777777" w:rsidR="00544106" w:rsidRPr="00D91E85" w:rsidRDefault="00544106" w:rsidP="00544106">
      <w:pPr>
        <w:pStyle w:val="ARPCBodyCopy"/>
        <w:rPr>
          <w:lang w:val="en-AU"/>
        </w:rPr>
      </w:pPr>
      <w:r w:rsidRPr="3EE44551">
        <w:rPr>
          <w:lang w:val="en-AU"/>
        </w:rPr>
        <w:t xml:space="preserve">Each year, the ARPC Board reviews the Risk Appetite and Tolerance Statement as part of the annual strategic workshop held by the Board, together with the Executive Management team. ARPC’s risk register is regularly revised to capture new or emerging risks, as well as changes to the Risk Appetite and Tolerance Statement. Managers review the risk register </w:t>
      </w:r>
      <w:r w:rsidR="003F072A">
        <w:rPr>
          <w:lang w:val="en-AU"/>
        </w:rPr>
        <w:t>regularly</w:t>
      </w:r>
      <w:r w:rsidR="003F072A" w:rsidRPr="3EE44551">
        <w:rPr>
          <w:lang w:val="en-AU"/>
        </w:rPr>
        <w:t xml:space="preserve"> </w:t>
      </w:r>
      <w:r w:rsidRPr="3EE44551">
        <w:rPr>
          <w:lang w:val="en-AU"/>
        </w:rPr>
        <w:t xml:space="preserve">and monitor risk target levels and ratings for potential changes. The ARPC Board receives regular reporting, sourced from the risk register, on risks which are outside tolerance levels. </w:t>
      </w:r>
    </w:p>
    <w:p w14:paraId="525E9470" w14:textId="77777777" w:rsidR="00544106" w:rsidRPr="00A259B2" w:rsidRDefault="00544106">
      <w:pPr>
        <w:pStyle w:val="Heading3"/>
      </w:pPr>
      <w:bookmarkStart w:id="281" w:name="ROM_LegislativeCompliance"/>
      <w:bookmarkStart w:id="282" w:name="_Toc422757858"/>
      <w:bookmarkStart w:id="283" w:name="_Toc486588180"/>
      <w:bookmarkStart w:id="284" w:name="_Toc486596698"/>
      <w:bookmarkStart w:id="285" w:name="_Toc365707989"/>
      <w:bookmarkStart w:id="286" w:name="_Toc513214502"/>
      <w:bookmarkStart w:id="287" w:name="_Toc518251592"/>
      <w:bookmarkStart w:id="288" w:name="_Toc522221657"/>
      <w:bookmarkEnd w:id="281"/>
      <w:r>
        <w:t>Legislative compliance</w:t>
      </w:r>
      <w:bookmarkEnd w:id="282"/>
      <w:bookmarkEnd w:id="283"/>
      <w:bookmarkEnd w:id="284"/>
      <w:bookmarkEnd w:id="285"/>
      <w:bookmarkEnd w:id="286"/>
      <w:bookmarkEnd w:id="287"/>
      <w:bookmarkEnd w:id="288"/>
    </w:p>
    <w:p w14:paraId="11718015" w14:textId="77777777" w:rsidR="00FC3B06" w:rsidRPr="009F77C8" w:rsidRDefault="00544106" w:rsidP="009F77C8">
      <w:pPr>
        <w:pStyle w:val="ARPCBodyCopy"/>
        <w:rPr>
          <w:lang w:val="en-AU"/>
        </w:rPr>
      </w:pPr>
      <w:r w:rsidRPr="009F77C8">
        <w:rPr>
          <w:lang w:val="en-AU"/>
        </w:rPr>
        <w:t>ARPC staff are made aware of legislative requirements through ongoing information and training. Management provide quarterly attestations on compliance with ARPC’s legislative obligations</w:t>
      </w:r>
      <w:r w:rsidR="009F77C8">
        <w:rPr>
          <w:lang w:val="en-AU"/>
        </w:rPr>
        <w:t>.</w:t>
      </w:r>
    </w:p>
    <w:p w14:paraId="4A4B4E9D" w14:textId="77777777" w:rsidR="00A462DB" w:rsidRPr="00A462DB" w:rsidRDefault="00A462DB" w:rsidP="00A462DB">
      <w:bookmarkStart w:id="289" w:name="_Toc513559344"/>
      <w:bookmarkStart w:id="290" w:name="_Toc518251593"/>
      <w:bookmarkStart w:id="291" w:name="_Toc513214503"/>
      <w:r w:rsidRPr="00A462DB">
        <w:br w:type="page"/>
      </w:r>
    </w:p>
    <w:p w14:paraId="4613C496" w14:textId="77777777" w:rsidR="00A10AE9" w:rsidRPr="00277861" w:rsidRDefault="00A10AE9" w:rsidP="002F3B7E">
      <w:pPr>
        <w:pStyle w:val="Heading1"/>
      </w:pPr>
      <w:bookmarkStart w:id="292" w:name="_Toc522221658"/>
      <w:r w:rsidRPr="005F7837">
        <w:rPr>
          <w:noProof/>
          <w:lang w:eastAsia="en-AU"/>
        </w:rPr>
        <w:lastRenderedPageBreak/>
        <w:drawing>
          <wp:anchor distT="0" distB="0" distL="114300" distR="114300" simplePos="0" relativeHeight="251658241" behindDoc="1" locked="0" layoutInCell="1" allowOverlap="1" wp14:anchorId="61F8B041" wp14:editId="1C8E9A30">
            <wp:simplePos x="0" y="0"/>
            <wp:positionH relativeFrom="page">
              <wp:posOffset>-36195</wp:posOffset>
            </wp:positionH>
            <wp:positionV relativeFrom="paragraph">
              <wp:posOffset>-1967865</wp:posOffset>
            </wp:positionV>
            <wp:extent cx="7582130" cy="7553810"/>
            <wp:effectExtent l="0" t="0" r="0" b="9525"/>
            <wp:wrapNone/>
            <wp:docPr id="66" name="Picture 66" descr="Section Divider" title="Section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Page.jpg"/>
                    <pic:cNvPicPr/>
                  </pic:nvPicPr>
                  <pic:blipFill>
                    <a:blip r:embed="rId17">
                      <a:extLst>
                        <a:ext uri="{28A0092B-C50C-407E-A947-70E740481C1C}">
                          <a14:useLocalDpi xmlns:a14="http://schemas.microsoft.com/office/drawing/2010/main" val="0"/>
                        </a:ext>
                      </a:extLst>
                    </a:blip>
                    <a:stretch>
                      <a:fillRect/>
                    </a:stretch>
                  </pic:blipFill>
                  <pic:spPr>
                    <a:xfrm>
                      <a:off x="0" y="0"/>
                      <a:ext cx="7582130" cy="7553810"/>
                    </a:xfrm>
                    <a:prstGeom prst="rect">
                      <a:avLst/>
                    </a:prstGeom>
                  </pic:spPr>
                </pic:pic>
              </a:graphicData>
            </a:graphic>
            <wp14:sizeRelH relativeFrom="page">
              <wp14:pctWidth>0</wp14:pctWidth>
            </wp14:sizeRelH>
            <wp14:sizeRelV relativeFrom="page">
              <wp14:pctHeight>0</wp14:pctHeight>
            </wp14:sizeRelV>
          </wp:anchor>
        </w:drawing>
      </w:r>
      <w:r w:rsidR="00833CC1" w:rsidRPr="00E90299">
        <w:t>PERFORMANCE</w:t>
      </w:r>
      <w:bookmarkEnd w:id="289"/>
      <w:bookmarkEnd w:id="290"/>
      <w:bookmarkEnd w:id="292"/>
      <w:r w:rsidR="00833CC1" w:rsidRPr="00E90299">
        <w:t xml:space="preserve"> </w:t>
      </w:r>
    </w:p>
    <w:p w14:paraId="7F698960" w14:textId="77777777" w:rsidR="001243DA" w:rsidRPr="002024EC" w:rsidRDefault="001243DA">
      <w:bookmarkStart w:id="293" w:name="_Toc513722800"/>
      <w:bookmarkStart w:id="294" w:name="_Toc513722879"/>
      <w:bookmarkStart w:id="295" w:name="_Toc513732544"/>
    </w:p>
    <w:p w14:paraId="0EC834BE" w14:textId="77777777" w:rsidR="00BD417E" w:rsidRPr="00FC6A5C" w:rsidRDefault="00BD417E" w:rsidP="005F7837">
      <w:r w:rsidRPr="00DF44C4">
        <w:br w:type="page"/>
      </w:r>
    </w:p>
    <w:p w14:paraId="319C2315" w14:textId="77777777" w:rsidR="00B86DDF" w:rsidRDefault="00922F5A">
      <w:pPr>
        <w:pStyle w:val="Heading2"/>
      </w:pPr>
      <w:bookmarkStart w:id="296" w:name="_Toc516064819"/>
      <w:r w:rsidRPr="00465F8B">
        <w:rPr>
          <w:caps w:val="0"/>
        </w:rPr>
        <w:lastRenderedPageBreak/>
        <w:t>PERFORMANCE</w:t>
      </w:r>
      <w:bookmarkEnd w:id="291"/>
      <w:bookmarkEnd w:id="293"/>
      <w:bookmarkEnd w:id="294"/>
      <w:bookmarkEnd w:id="295"/>
      <w:bookmarkEnd w:id="296"/>
    </w:p>
    <w:p w14:paraId="4DFAB019" w14:textId="77777777" w:rsidR="00B86DDF" w:rsidRPr="001353B6" w:rsidRDefault="00D63AB2" w:rsidP="00B86DDF">
      <w:pPr>
        <w:pStyle w:val="ARPCBodyCopy"/>
        <w:rPr>
          <w:lang w:val="en-AU"/>
        </w:rPr>
      </w:pPr>
      <w:r>
        <w:rPr>
          <w:lang w:val="en-AU"/>
        </w:rPr>
        <w:t>To comply</w:t>
      </w:r>
      <w:r w:rsidR="00B86DDF" w:rsidRPr="3EE44551">
        <w:rPr>
          <w:lang w:val="en-AU"/>
        </w:rPr>
        <w:t xml:space="preserve"> with the PGPA Act, ARPC must remain financially sustainable and manage its public resources in an efficient, effective, economical and ethical manner as it fulfils its purpose. </w:t>
      </w:r>
    </w:p>
    <w:p w14:paraId="25429643" w14:textId="77777777" w:rsidR="00B86DDF" w:rsidRPr="001353B6" w:rsidRDefault="000A1B10" w:rsidP="0003613A">
      <w:pPr>
        <w:pStyle w:val="ARPCBodyCopy"/>
        <w:spacing w:after="40"/>
        <w:rPr>
          <w:lang w:val="en-AU"/>
        </w:rPr>
      </w:pPr>
      <w:r>
        <w:rPr>
          <w:lang w:val="en-AU"/>
        </w:rPr>
        <w:t>T</w:t>
      </w:r>
      <w:r w:rsidR="00B86DDF" w:rsidRPr="3EE44551">
        <w:rPr>
          <w:lang w:val="en-AU"/>
        </w:rPr>
        <w:t xml:space="preserve">here are four </w:t>
      </w:r>
      <w:r w:rsidR="005454C5">
        <w:rPr>
          <w:lang w:val="en-AU"/>
        </w:rPr>
        <w:t xml:space="preserve">key performance areas ARPC </w:t>
      </w:r>
      <w:r w:rsidR="0003613A">
        <w:rPr>
          <w:lang w:val="en-AU"/>
        </w:rPr>
        <w:t xml:space="preserve">will measure </w:t>
      </w:r>
      <w:r w:rsidR="00B86DDF" w:rsidRPr="3EE44551">
        <w:rPr>
          <w:lang w:val="en-AU"/>
        </w:rPr>
        <w:t xml:space="preserve">over the reporting period </w:t>
      </w:r>
      <w:r w:rsidR="0003613A">
        <w:rPr>
          <w:lang w:val="en-AU"/>
        </w:rPr>
        <w:t>to</w:t>
      </w:r>
      <w:r w:rsidR="00B86DDF" w:rsidRPr="3EE44551">
        <w:rPr>
          <w:lang w:val="en-AU"/>
        </w:rPr>
        <w:t xml:space="preserve"> facilitate ARPC achieving its purpose</w:t>
      </w:r>
      <w:r w:rsidR="00582E4A">
        <w:rPr>
          <w:lang w:val="en-AU"/>
        </w:rPr>
        <w:t xml:space="preserve">. </w:t>
      </w:r>
      <w:r w:rsidR="00F309B1">
        <w:rPr>
          <w:lang w:val="en-AU"/>
        </w:rPr>
        <w:t>T</w:t>
      </w:r>
      <w:r w:rsidR="0003613A">
        <w:rPr>
          <w:lang w:val="en-AU"/>
        </w:rPr>
        <w:t xml:space="preserve">hese </w:t>
      </w:r>
      <w:r w:rsidR="00F309B1">
        <w:rPr>
          <w:lang w:val="en-AU"/>
        </w:rPr>
        <w:t>are to</w:t>
      </w:r>
      <w:r w:rsidR="0003613A">
        <w:rPr>
          <w:lang w:val="en-AU"/>
        </w:rPr>
        <w:t>:</w:t>
      </w:r>
    </w:p>
    <w:p w14:paraId="068B4064" w14:textId="77777777" w:rsidR="00B86DDF" w:rsidRPr="00A014F8" w:rsidRDefault="00B86DDF" w:rsidP="00A014F8">
      <w:pPr>
        <w:pStyle w:val="BulletL1"/>
      </w:pPr>
      <w:r w:rsidRPr="00A014F8">
        <w:t>provide reinsurance for eligible terrorism losses;</w:t>
      </w:r>
    </w:p>
    <w:p w14:paraId="2731EAB6" w14:textId="77777777" w:rsidR="00B86DDF" w:rsidRPr="00A014F8" w:rsidRDefault="00B86DDF" w:rsidP="00A014F8">
      <w:pPr>
        <w:pStyle w:val="BulletL1"/>
      </w:pPr>
      <w:r w:rsidRPr="00A014F8">
        <w:t>encourage private sector participation through the retrocession program;</w:t>
      </w:r>
    </w:p>
    <w:p w14:paraId="41060C4D" w14:textId="77777777" w:rsidR="00B86DDF" w:rsidRPr="00A014F8" w:rsidRDefault="00B86DDF" w:rsidP="00A014F8">
      <w:pPr>
        <w:pStyle w:val="BulletL1"/>
      </w:pPr>
      <w:r w:rsidRPr="00A014F8">
        <w:t>compensate the Government; and</w:t>
      </w:r>
    </w:p>
    <w:p w14:paraId="2012CB0E" w14:textId="77777777" w:rsidR="00B86DDF" w:rsidRPr="00A014F8" w:rsidRDefault="00B86DDF" w:rsidP="00A014F8">
      <w:pPr>
        <w:pStyle w:val="BulletL1"/>
      </w:pPr>
      <w:r w:rsidRPr="00A014F8">
        <w:t xml:space="preserve">maintain financial sustainability and </w:t>
      </w:r>
      <w:proofErr w:type="spellStart"/>
      <w:r w:rsidRPr="00A014F8">
        <w:t>organisational</w:t>
      </w:r>
      <w:proofErr w:type="spellEnd"/>
      <w:r w:rsidRPr="00A014F8">
        <w:t xml:space="preserve"> resilience.</w:t>
      </w:r>
    </w:p>
    <w:p w14:paraId="0C048CD7" w14:textId="77777777" w:rsidR="00B86DDF" w:rsidRDefault="002A2F3B" w:rsidP="00B86DDF">
      <w:pPr>
        <w:pStyle w:val="ARPCBodyCopy"/>
        <w:spacing w:before="240"/>
        <w:rPr>
          <w:lang w:val="en-AU"/>
        </w:rPr>
      </w:pPr>
      <w:r>
        <w:rPr>
          <w:lang w:val="en-AU"/>
        </w:rPr>
        <w:t xml:space="preserve">These </w:t>
      </w:r>
      <w:r w:rsidR="0003613A">
        <w:rPr>
          <w:lang w:val="en-AU"/>
        </w:rPr>
        <w:t xml:space="preserve">key performance areas </w:t>
      </w:r>
      <w:r>
        <w:rPr>
          <w:lang w:val="en-AU"/>
        </w:rPr>
        <w:t>are</w:t>
      </w:r>
      <w:r w:rsidR="00B86DDF" w:rsidRPr="3EE44551">
        <w:rPr>
          <w:lang w:val="en-AU"/>
        </w:rPr>
        <w:t xml:space="preserve"> outlined below </w:t>
      </w:r>
      <w:r w:rsidR="00B86DDF" w:rsidRPr="002560CD">
        <w:rPr>
          <w:lang w:val="en-AU"/>
        </w:rPr>
        <w:t xml:space="preserve">in </w:t>
      </w:r>
      <w:r w:rsidR="00C3504C" w:rsidRPr="002560CD">
        <w:rPr>
          <w:i/>
          <w:iCs/>
          <w:lang w:val="en-AU"/>
        </w:rPr>
        <w:t xml:space="preserve">Figure </w:t>
      </w:r>
      <w:r w:rsidR="002560CD">
        <w:rPr>
          <w:i/>
          <w:iCs/>
          <w:lang w:val="en-AU"/>
        </w:rPr>
        <w:t>6</w:t>
      </w:r>
      <w:r w:rsidR="00B86DDF" w:rsidRPr="002560CD">
        <w:rPr>
          <w:i/>
          <w:iCs/>
          <w:lang w:val="en-AU"/>
        </w:rPr>
        <w:t>.1</w:t>
      </w:r>
      <w:r w:rsidR="00B86DDF" w:rsidRPr="002560CD">
        <w:rPr>
          <w:lang w:val="en-AU"/>
        </w:rPr>
        <w:t>, together</w:t>
      </w:r>
      <w:r w:rsidR="00B86DDF" w:rsidRPr="3EE44551">
        <w:rPr>
          <w:lang w:val="en-AU"/>
        </w:rPr>
        <w:t xml:space="preserve"> with details on how ARPC measures the success of actions taken to achieve them.</w:t>
      </w:r>
    </w:p>
    <w:p w14:paraId="259BC2CA" w14:textId="77777777" w:rsidR="00B86DDF" w:rsidRPr="005F7837" w:rsidRDefault="00B86DDF" w:rsidP="005F7837">
      <w:pPr>
        <w:pStyle w:val="Bodytext"/>
        <w:rPr>
          <w:rStyle w:val="Figure"/>
        </w:rPr>
      </w:pPr>
      <w:bookmarkStart w:id="297" w:name="_Toc513732545"/>
      <w:r w:rsidRPr="00DF44C4">
        <w:rPr>
          <w:rStyle w:val="Figure"/>
        </w:rPr>
        <w:t xml:space="preserve">Figure </w:t>
      </w:r>
      <w:r w:rsidR="002560CD" w:rsidRPr="002560CD">
        <w:rPr>
          <w:rStyle w:val="Figure"/>
        </w:rPr>
        <w:t>6</w:t>
      </w:r>
      <w:r w:rsidRPr="002560CD">
        <w:rPr>
          <w:rStyle w:val="Figure"/>
        </w:rPr>
        <w:t>.1</w:t>
      </w:r>
      <w:r w:rsidRPr="005F7837">
        <w:rPr>
          <w:rStyle w:val="Figure"/>
        </w:rPr>
        <w:t>: Key Performance Indicator (KPI) Summary</w:t>
      </w:r>
      <w:bookmarkEnd w:id="297"/>
    </w:p>
    <w:tbl>
      <w:tblPr>
        <w:tblStyle w:val="TableGrid"/>
        <w:tblW w:w="8674" w:type="dxa"/>
        <w:jc w:val="center"/>
        <w:tblCellMar>
          <w:top w:w="57" w:type="dxa"/>
          <w:bottom w:w="57" w:type="dxa"/>
        </w:tblCellMar>
        <w:tblLook w:val="04A0" w:firstRow="1" w:lastRow="0" w:firstColumn="1" w:lastColumn="0" w:noHBand="0" w:noVBand="1"/>
      </w:tblPr>
      <w:tblGrid>
        <w:gridCol w:w="2154"/>
        <w:gridCol w:w="2665"/>
        <w:gridCol w:w="2381"/>
        <w:gridCol w:w="1474"/>
      </w:tblGrid>
      <w:tr w:rsidR="002024EC" w:rsidRPr="004858D6" w14:paraId="77DA6C01" w14:textId="77777777" w:rsidTr="0074072A">
        <w:trPr>
          <w:trHeight w:val="364"/>
          <w:tblHeader/>
          <w:jc w:val="center"/>
        </w:trPr>
        <w:tc>
          <w:tcPr>
            <w:tcW w:w="2154" w:type="dxa"/>
            <w:tcBorders>
              <w:top w:val="nil"/>
              <w:left w:val="nil"/>
              <w:bottom w:val="nil"/>
              <w:right w:val="nil"/>
            </w:tcBorders>
            <w:shd w:val="clear" w:color="auto" w:fill="184C8D"/>
          </w:tcPr>
          <w:p w14:paraId="638C7913" w14:textId="77777777" w:rsidR="00B86DDF" w:rsidRPr="00186CE0" w:rsidRDefault="00B86DDF" w:rsidP="00CC587E">
            <w:pPr>
              <w:pStyle w:val="ARPCTableBC"/>
              <w:rPr>
                <w:rStyle w:val="ARPCTableBCReg"/>
                <w:color w:val="FFFFFF" w:themeColor="background1"/>
              </w:rPr>
            </w:pPr>
            <w:r w:rsidRPr="3EE44551">
              <w:rPr>
                <w:rStyle w:val="ARPCTableBCReg"/>
                <w:color w:val="FFFFFF" w:themeColor="background1"/>
              </w:rPr>
              <w:t>KPI Area</w:t>
            </w:r>
          </w:p>
        </w:tc>
        <w:tc>
          <w:tcPr>
            <w:tcW w:w="2665" w:type="dxa"/>
            <w:tcBorders>
              <w:top w:val="nil"/>
              <w:left w:val="single" w:sz="4" w:space="0" w:color="D9D9D9" w:themeColor="background1" w:themeShade="D9"/>
              <w:bottom w:val="nil"/>
              <w:right w:val="nil"/>
            </w:tcBorders>
            <w:shd w:val="clear" w:color="auto" w:fill="184C8D"/>
          </w:tcPr>
          <w:p w14:paraId="1F0DC8DD" w14:textId="77777777" w:rsidR="00B86DDF" w:rsidRPr="00186CE0" w:rsidRDefault="00B86DDF" w:rsidP="00CC587E">
            <w:pPr>
              <w:pStyle w:val="ARPCTableBC"/>
              <w:rPr>
                <w:rStyle w:val="ARPCTableBCReg"/>
                <w:color w:val="FFFFFF" w:themeColor="background1"/>
              </w:rPr>
            </w:pPr>
            <w:r w:rsidRPr="3EE44551">
              <w:rPr>
                <w:rStyle w:val="ARPCTableBCReg"/>
                <w:color w:val="FFFFFF" w:themeColor="background1"/>
              </w:rPr>
              <w:t>Measure</w:t>
            </w:r>
          </w:p>
        </w:tc>
        <w:tc>
          <w:tcPr>
            <w:tcW w:w="2381" w:type="dxa"/>
            <w:tcBorders>
              <w:top w:val="nil"/>
              <w:left w:val="single" w:sz="4" w:space="0" w:color="D9D9D9" w:themeColor="background1" w:themeShade="D9"/>
              <w:bottom w:val="nil"/>
              <w:right w:val="nil"/>
            </w:tcBorders>
            <w:shd w:val="clear" w:color="auto" w:fill="184C8D"/>
          </w:tcPr>
          <w:p w14:paraId="6EDF7C88" w14:textId="77777777" w:rsidR="00B86DDF" w:rsidRPr="006E0925" w:rsidRDefault="00B86DDF" w:rsidP="00CC587E">
            <w:pPr>
              <w:pStyle w:val="ARPCTableBC"/>
              <w:rPr>
                <w:rStyle w:val="ARPCTableBCReg"/>
                <w:color w:val="FFFFFF" w:themeColor="background1"/>
              </w:rPr>
            </w:pPr>
            <w:r w:rsidRPr="3EE44551">
              <w:rPr>
                <w:rStyle w:val="ARPCTableBCReg"/>
                <w:color w:val="FFFFFF" w:themeColor="background1"/>
              </w:rPr>
              <w:t>Assessment Criteria</w:t>
            </w:r>
          </w:p>
        </w:tc>
        <w:tc>
          <w:tcPr>
            <w:tcW w:w="1474" w:type="dxa"/>
            <w:tcBorders>
              <w:top w:val="nil"/>
              <w:left w:val="single" w:sz="4" w:space="0" w:color="D9D9D9" w:themeColor="background1" w:themeShade="D9"/>
              <w:bottom w:val="nil"/>
              <w:right w:val="nil"/>
            </w:tcBorders>
            <w:shd w:val="clear" w:color="auto" w:fill="184C8D"/>
          </w:tcPr>
          <w:p w14:paraId="0EB95ABB" w14:textId="77777777" w:rsidR="00B86DDF" w:rsidRPr="006E0925" w:rsidRDefault="00B86DDF" w:rsidP="00CC587E">
            <w:pPr>
              <w:pStyle w:val="ARPCTableBC"/>
              <w:rPr>
                <w:rStyle w:val="ARPCTableBCReg"/>
                <w:color w:val="FFFFFF" w:themeColor="background1"/>
              </w:rPr>
            </w:pPr>
            <w:r w:rsidRPr="3EE44551">
              <w:rPr>
                <w:rStyle w:val="ARPCTableBCReg"/>
                <w:color w:val="FFFFFF" w:themeColor="background1"/>
              </w:rPr>
              <w:t>Level of ARPC Influence</w:t>
            </w:r>
          </w:p>
        </w:tc>
      </w:tr>
      <w:tr w:rsidR="002024EC" w14:paraId="2D9B38DF" w14:textId="77777777" w:rsidTr="0074072A">
        <w:trPr>
          <w:trHeight w:val="364"/>
          <w:jc w:val="center"/>
        </w:trPr>
        <w:tc>
          <w:tcPr>
            <w:tcW w:w="2154" w:type="dxa"/>
            <w:tcBorders>
              <w:top w:val="nil"/>
              <w:left w:val="nil"/>
              <w:bottom w:val="nil"/>
              <w:right w:val="nil"/>
            </w:tcBorders>
            <w:shd w:val="clear" w:color="auto" w:fill="F3F3F3"/>
          </w:tcPr>
          <w:p w14:paraId="116E6BC9" w14:textId="77777777" w:rsidR="00B86DDF" w:rsidRPr="00DF44C4" w:rsidRDefault="00B86DDF" w:rsidP="00A462DB">
            <w:pPr>
              <w:pStyle w:val="Tabletext"/>
              <w:numPr>
                <w:ilvl w:val="0"/>
                <w:numId w:val="33"/>
              </w:numPr>
              <w:spacing w:before="0" w:after="0" w:line="240" w:lineRule="auto"/>
              <w:ind w:left="313" w:hanging="313"/>
            </w:pPr>
            <w:r w:rsidRPr="005F7837">
              <w:rPr>
                <w:lang w:val="en-AU"/>
              </w:rPr>
              <w:t>Provide reinsurance for eligible</w:t>
            </w:r>
            <w:r w:rsidR="00BD417E" w:rsidRPr="005F7837">
              <w:rPr>
                <w:lang w:val="en-AU"/>
              </w:rPr>
              <w:t xml:space="preserve"> </w:t>
            </w:r>
            <w:r w:rsidR="0084733C">
              <w:rPr>
                <w:lang w:val="en-AU"/>
              </w:rPr>
              <w:t>terrorism losses</w:t>
            </w:r>
          </w:p>
        </w:tc>
        <w:tc>
          <w:tcPr>
            <w:tcW w:w="2665" w:type="dxa"/>
            <w:tcBorders>
              <w:top w:val="nil"/>
              <w:left w:val="single" w:sz="4" w:space="0" w:color="D9D9D9" w:themeColor="background1" w:themeShade="D9"/>
              <w:bottom w:val="single" w:sz="4" w:space="0" w:color="D9D9D9" w:themeColor="background1" w:themeShade="D9"/>
              <w:right w:val="nil"/>
            </w:tcBorders>
            <w:shd w:val="clear" w:color="auto" w:fill="auto"/>
          </w:tcPr>
          <w:p w14:paraId="5429B697" w14:textId="77777777" w:rsidR="00B86DDF" w:rsidRPr="00DF44C4" w:rsidRDefault="00B86DDF" w:rsidP="005F7837">
            <w:pPr>
              <w:pStyle w:val="Tabletext"/>
              <w:spacing w:before="0" w:after="0" w:line="240" w:lineRule="auto"/>
              <w:rPr>
                <w:rFonts w:eastAsia="Calibri-Light"/>
              </w:rPr>
            </w:pPr>
            <w:r w:rsidRPr="005F7837">
              <w:rPr>
                <w:rStyle w:val="ARPCTableBCReg"/>
                <w:rFonts w:ascii="Calibri-Light" w:eastAsia="Calibri-Light" w:hAnsi="Calibri-Light" w:cs="Calibri-Light"/>
                <w:sz w:val="18"/>
                <w:lang w:val="en-AU"/>
              </w:rPr>
              <w:t>Measure 1:</w:t>
            </w:r>
            <w:r w:rsidRPr="005F7837">
              <w:rPr>
                <w:rFonts w:eastAsia="Calibri-Light"/>
                <w:lang w:val="en-AU"/>
              </w:rPr>
              <w:t xml:space="preserve"> Income – Gross Written Premium</w:t>
            </w:r>
          </w:p>
        </w:tc>
        <w:tc>
          <w:tcPr>
            <w:tcW w:w="2381" w:type="dxa"/>
            <w:tcBorders>
              <w:top w:val="nil"/>
              <w:left w:val="single" w:sz="4" w:space="0" w:color="D9D9D9" w:themeColor="background1" w:themeShade="D9"/>
              <w:bottom w:val="single" w:sz="4" w:space="0" w:color="D9D9D9" w:themeColor="background1" w:themeShade="D9"/>
              <w:right w:val="nil"/>
            </w:tcBorders>
            <w:shd w:val="clear" w:color="auto" w:fill="auto"/>
          </w:tcPr>
          <w:p w14:paraId="5F4E9E03" w14:textId="77777777" w:rsidR="00B86DDF" w:rsidRPr="00DF44C4" w:rsidRDefault="00B86DDF" w:rsidP="005F7837">
            <w:pPr>
              <w:pStyle w:val="Tabletext"/>
              <w:spacing w:before="0" w:after="0" w:line="240" w:lineRule="auto"/>
              <w:rPr>
                <w:rFonts w:eastAsia="Calibri-Light"/>
              </w:rPr>
            </w:pPr>
            <w:r w:rsidRPr="005F7837">
              <w:rPr>
                <w:rFonts w:eastAsia="Calibri-Light"/>
                <w:lang w:val="en-AU"/>
              </w:rPr>
              <w:t>Gross Written Premium (GWP)</w:t>
            </w:r>
            <w:r w:rsidR="00043C10">
              <w:rPr>
                <w:rFonts w:eastAsia="Calibri-Light"/>
                <w:lang w:val="en-AU"/>
              </w:rPr>
              <w:t xml:space="preserve"> against target</w:t>
            </w:r>
          </w:p>
        </w:tc>
        <w:tc>
          <w:tcPr>
            <w:tcW w:w="1474" w:type="dxa"/>
            <w:tcBorders>
              <w:top w:val="nil"/>
              <w:left w:val="single" w:sz="4" w:space="0" w:color="D9D9D9" w:themeColor="background1" w:themeShade="D9"/>
              <w:bottom w:val="single" w:sz="4" w:space="0" w:color="D9D9D9" w:themeColor="background1" w:themeShade="D9"/>
              <w:right w:val="nil"/>
            </w:tcBorders>
            <w:shd w:val="clear" w:color="auto" w:fill="auto"/>
          </w:tcPr>
          <w:p w14:paraId="6610CD27" w14:textId="77777777" w:rsidR="00B86DDF" w:rsidRPr="00DF44C4" w:rsidRDefault="00B86DDF" w:rsidP="005F7837">
            <w:pPr>
              <w:pStyle w:val="Tabletext"/>
              <w:spacing w:before="0" w:after="0" w:line="240" w:lineRule="auto"/>
              <w:rPr>
                <w:rFonts w:eastAsia="Calibri-Light"/>
              </w:rPr>
            </w:pPr>
            <w:r w:rsidRPr="005F7837">
              <w:rPr>
                <w:rFonts w:eastAsia="Calibri-Light"/>
                <w:lang w:val="en-AU"/>
              </w:rPr>
              <w:t>Limited</w:t>
            </w:r>
          </w:p>
        </w:tc>
      </w:tr>
      <w:tr w:rsidR="002024EC" w14:paraId="18DA978D" w14:textId="77777777" w:rsidTr="0074072A">
        <w:trPr>
          <w:trHeight w:val="364"/>
          <w:jc w:val="center"/>
        </w:trPr>
        <w:tc>
          <w:tcPr>
            <w:tcW w:w="2154" w:type="dxa"/>
            <w:tcBorders>
              <w:top w:val="nil"/>
              <w:left w:val="nil"/>
              <w:bottom w:val="single" w:sz="4" w:space="0" w:color="A6A6A6" w:themeColor="background1" w:themeShade="A6"/>
              <w:right w:val="nil"/>
            </w:tcBorders>
            <w:shd w:val="clear" w:color="auto" w:fill="F3F3F3"/>
          </w:tcPr>
          <w:p w14:paraId="36E18579" w14:textId="77777777" w:rsidR="00B86DDF" w:rsidRPr="005F7837" w:rsidRDefault="00B86DDF" w:rsidP="005F7837">
            <w:pPr>
              <w:pStyle w:val="Tabletext"/>
              <w:spacing w:before="0" w:after="0" w:line="240" w:lineRule="auto"/>
              <w:rPr>
                <w:rFonts w:cs="Times New Roman"/>
                <w:color w:val="1F497D" w:themeColor="text2"/>
              </w:rPr>
            </w:pPr>
          </w:p>
        </w:tc>
        <w:tc>
          <w:tcPr>
            <w:tcW w:w="2665" w:type="dxa"/>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auto"/>
          </w:tcPr>
          <w:p w14:paraId="04CA5139" w14:textId="77777777" w:rsidR="00B86DDF" w:rsidRPr="00DF44C4" w:rsidRDefault="00B86DDF" w:rsidP="005F7837">
            <w:pPr>
              <w:pStyle w:val="Tabletext"/>
              <w:spacing w:before="0" w:after="0" w:line="240" w:lineRule="auto"/>
              <w:rPr>
                <w:rFonts w:eastAsia="Calibri-Light"/>
              </w:rPr>
            </w:pPr>
            <w:r w:rsidRPr="005F7837">
              <w:rPr>
                <w:rStyle w:val="ARPCTableBCReg"/>
                <w:rFonts w:ascii="Calibri-Light" w:eastAsia="Calibri-Light" w:hAnsi="Calibri-Light" w:cs="Calibri-Light"/>
                <w:sz w:val="18"/>
                <w:lang w:val="en-AU"/>
              </w:rPr>
              <w:t>Measure 2:</w:t>
            </w:r>
            <w:r w:rsidRPr="005F7837">
              <w:rPr>
                <w:rFonts w:eastAsia="Calibri-Light"/>
                <w:lang w:val="en-AU"/>
              </w:rPr>
              <w:t xml:space="preserve"> Scheme Capacity – Total Funding Available</w:t>
            </w:r>
          </w:p>
        </w:tc>
        <w:tc>
          <w:tcPr>
            <w:tcW w:w="2381" w:type="dxa"/>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auto"/>
          </w:tcPr>
          <w:p w14:paraId="609A9826" w14:textId="77777777" w:rsidR="00B86DDF" w:rsidRPr="00DF44C4" w:rsidRDefault="00B86DDF" w:rsidP="005F7837">
            <w:pPr>
              <w:pStyle w:val="Tabletext"/>
              <w:spacing w:before="0" w:after="0" w:line="240" w:lineRule="auto"/>
              <w:rPr>
                <w:rFonts w:eastAsia="Calibri-Light"/>
              </w:rPr>
            </w:pPr>
            <w:r w:rsidRPr="005F7837">
              <w:rPr>
                <w:rFonts w:eastAsia="Calibri-Light"/>
                <w:lang w:val="en-AU"/>
              </w:rPr>
              <w:t>Purchase of &gt; $2.5 billion in retrocession within approved budget</w:t>
            </w:r>
            <w:r w:rsidRPr="005F7837">
              <w:rPr>
                <w:rFonts w:eastAsia="Calibri-Light"/>
                <w:vertAlign w:val="superscript"/>
                <w:lang w:val="en-AU"/>
              </w:rPr>
              <w:footnoteReference w:id="4"/>
            </w:r>
          </w:p>
        </w:tc>
        <w:tc>
          <w:tcPr>
            <w:tcW w:w="1474" w:type="dxa"/>
            <w:tcBorders>
              <w:top w:val="single" w:sz="4" w:space="0" w:color="D9D9D9" w:themeColor="background1" w:themeShade="D9"/>
              <w:left w:val="single" w:sz="4" w:space="0" w:color="D9D9D9" w:themeColor="background1" w:themeShade="D9"/>
              <w:bottom w:val="single" w:sz="4" w:space="0" w:color="D9D9D9" w:themeColor="background1" w:themeShade="D9"/>
              <w:right w:val="nil"/>
            </w:tcBorders>
            <w:shd w:val="clear" w:color="auto" w:fill="auto"/>
          </w:tcPr>
          <w:p w14:paraId="25CBDC99" w14:textId="77777777" w:rsidR="00B86DDF" w:rsidRPr="00DF44C4" w:rsidRDefault="00B86DDF" w:rsidP="005F7837">
            <w:pPr>
              <w:pStyle w:val="Tabletext"/>
              <w:spacing w:before="0" w:after="0" w:line="240" w:lineRule="auto"/>
              <w:rPr>
                <w:rFonts w:eastAsia="Calibri-Light"/>
              </w:rPr>
            </w:pPr>
            <w:r w:rsidRPr="005F7837">
              <w:rPr>
                <w:rFonts w:eastAsia="Calibri-Light"/>
                <w:lang w:val="en-AU"/>
              </w:rPr>
              <w:t>Moderate</w:t>
            </w:r>
          </w:p>
        </w:tc>
      </w:tr>
      <w:tr w:rsidR="002024EC" w14:paraId="37EB1456" w14:textId="77777777" w:rsidTr="0074072A">
        <w:trPr>
          <w:trHeight w:val="711"/>
          <w:jc w:val="center"/>
        </w:trPr>
        <w:tc>
          <w:tcPr>
            <w:tcW w:w="2154" w:type="dxa"/>
            <w:tcBorders>
              <w:top w:val="single" w:sz="4" w:space="0" w:color="A6A6A6" w:themeColor="background1" w:themeShade="A6"/>
              <w:left w:val="nil"/>
              <w:bottom w:val="single" w:sz="4" w:space="0" w:color="A6A6A6" w:themeColor="background1" w:themeShade="A6"/>
              <w:right w:val="nil"/>
            </w:tcBorders>
            <w:shd w:val="clear" w:color="auto" w:fill="F3F3F3"/>
          </w:tcPr>
          <w:p w14:paraId="14F4B805" w14:textId="77777777" w:rsidR="00B86DDF" w:rsidRPr="00DF44C4" w:rsidRDefault="00B86DDF" w:rsidP="00A462DB">
            <w:pPr>
              <w:pStyle w:val="Tabletext"/>
              <w:numPr>
                <w:ilvl w:val="0"/>
                <w:numId w:val="33"/>
              </w:numPr>
              <w:spacing w:before="0" w:after="0" w:line="240" w:lineRule="auto"/>
              <w:ind w:left="313" w:hanging="313"/>
              <w:rPr>
                <w:rFonts w:cs="Times New Roman"/>
                <w:color w:val="1F497D" w:themeColor="text2"/>
              </w:rPr>
            </w:pPr>
            <w:r w:rsidRPr="005F7837">
              <w:rPr>
                <w:lang w:val="en-AU"/>
              </w:rPr>
              <w:t>Encourage private sector participation through the retrocession program</w:t>
            </w:r>
          </w:p>
        </w:tc>
        <w:tc>
          <w:tcPr>
            <w:tcW w:w="2665"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0B444959" w14:textId="77777777" w:rsidR="00B86DDF" w:rsidRPr="00DF44C4" w:rsidRDefault="00B86DDF" w:rsidP="005F7837">
            <w:pPr>
              <w:pStyle w:val="Tabletext"/>
              <w:spacing w:before="0" w:after="0" w:line="240" w:lineRule="auto"/>
              <w:rPr>
                <w:rFonts w:eastAsia="Calibri-Light"/>
              </w:rPr>
            </w:pPr>
            <w:r w:rsidRPr="005F7837">
              <w:rPr>
                <w:rStyle w:val="ARPCTableBCReg"/>
                <w:rFonts w:ascii="Calibri-Light" w:eastAsia="Calibri-Light" w:hAnsi="Calibri-Light" w:cs="Calibri-Light"/>
                <w:sz w:val="18"/>
                <w:lang w:val="en-AU"/>
              </w:rPr>
              <w:t xml:space="preserve">Measure </w:t>
            </w:r>
            <w:r w:rsidR="007F31BF">
              <w:rPr>
                <w:rStyle w:val="ARPCTableBCReg"/>
                <w:rFonts w:ascii="Calibri-Light" w:eastAsia="Calibri-Light" w:hAnsi="Calibri-Light" w:cs="Calibri-Light"/>
                <w:sz w:val="18"/>
                <w:lang w:val="en-AU"/>
              </w:rPr>
              <w:t>3</w:t>
            </w:r>
            <w:r w:rsidRPr="005F7837">
              <w:rPr>
                <w:rStyle w:val="ARPCTableBCReg"/>
                <w:rFonts w:ascii="Calibri-Light" w:eastAsia="Calibri-Light" w:hAnsi="Calibri-Light" w:cs="Calibri-Light"/>
                <w:sz w:val="18"/>
                <w:lang w:val="en-AU"/>
              </w:rPr>
              <w:t>:</w:t>
            </w:r>
            <w:r w:rsidRPr="005F7837">
              <w:rPr>
                <w:rFonts w:eastAsia="Calibri-Light"/>
                <w:lang w:val="en-AU"/>
              </w:rPr>
              <w:t xml:space="preserve"> Private sector participation</w:t>
            </w:r>
          </w:p>
        </w:tc>
        <w:tc>
          <w:tcPr>
            <w:tcW w:w="2381"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55BE9148" w14:textId="77777777" w:rsidR="00B86DDF" w:rsidRPr="00DF44C4" w:rsidRDefault="00B86DDF" w:rsidP="005F7837">
            <w:pPr>
              <w:pStyle w:val="Tabletext"/>
              <w:spacing w:before="0" w:after="0" w:line="240" w:lineRule="auto"/>
              <w:rPr>
                <w:rFonts w:eastAsia="Calibri-Light"/>
              </w:rPr>
            </w:pPr>
            <w:r w:rsidRPr="005F7837">
              <w:rPr>
                <w:rFonts w:eastAsia="Calibri-Light"/>
                <w:lang w:val="en-AU"/>
              </w:rPr>
              <w:t xml:space="preserve">Number and quality of </w:t>
            </w:r>
            <w:proofErr w:type="spellStart"/>
            <w:r w:rsidRPr="005F7837">
              <w:rPr>
                <w:rFonts w:eastAsia="Calibri-Light"/>
                <w:lang w:val="en-AU"/>
              </w:rPr>
              <w:t>retrocessionaires</w:t>
            </w:r>
            <w:proofErr w:type="spellEnd"/>
            <w:r w:rsidRPr="005F7837">
              <w:rPr>
                <w:rFonts w:eastAsia="Calibri-Light"/>
                <w:lang w:val="en-AU"/>
              </w:rPr>
              <w:t xml:space="preserve"> in the program</w:t>
            </w:r>
          </w:p>
        </w:tc>
        <w:tc>
          <w:tcPr>
            <w:tcW w:w="1474"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0AD8489B" w14:textId="77777777" w:rsidR="00B86DDF" w:rsidRPr="00DF44C4" w:rsidRDefault="00B86DDF" w:rsidP="005F7837">
            <w:pPr>
              <w:pStyle w:val="Tabletext"/>
              <w:spacing w:before="0" w:after="0" w:line="240" w:lineRule="auto"/>
              <w:rPr>
                <w:rFonts w:eastAsia="Calibri-Light"/>
              </w:rPr>
            </w:pPr>
            <w:r w:rsidRPr="005F7837">
              <w:rPr>
                <w:rFonts w:eastAsia="Calibri-Light"/>
                <w:lang w:val="en-AU"/>
              </w:rPr>
              <w:t>Moderate</w:t>
            </w:r>
          </w:p>
          <w:p w14:paraId="266626CC" w14:textId="77777777" w:rsidR="00B86DDF" w:rsidRPr="00FC6A5C" w:rsidRDefault="00B86DDF" w:rsidP="005F7837">
            <w:pPr>
              <w:pStyle w:val="Tabletext"/>
              <w:spacing w:before="0" w:after="0" w:line="240" w:lineRule="auto"/>
              <w:rPr>
                <w:rFonts w:eastAsia="Calibri-Light"/>
              </w:rPr>
            </w:pPr>
          </w:p>
        </w:tc>
      </w:tr>
      <w:tr w:rsidR="002024EC" w14:paraId="7E51DBEF" w14:textId="77777777" w:rsidTr="0074072A">
        <w:trPr>
          <w:trHeight w:val="132"/>
          <w:jc w:val="center"/>
        </w:trPr>
        <w:tc>
          <w:tcPr>
            <w:tcW w:w="2154" w:type="dxa"/>
            <w:tcBorders>
              <w:top w:val="single" w:sz="4" w:space="0" w:color="A6A6A6" w:themeColor="background1" w:themeShade="A6"/>
              <w:left w:val="nil"/>
              <w:bottom w:val="single" w:sz="4" w:space="0" w:color="A6A6A6" w:themeColor="background1" w:themeShade="A6"/>
              <w:right w:val="nil"/>
            </w:tcBorders>
            <w:shd w:val="clear" w:color="auto" w:fill="F3F3F3"/>
          </w:tcPr>
          <w:p w14:paraId="5077F1DF" w14:textId="77777777" w:rsidR="00B86DDF" w:rsidRPr="00DF44C4" w:rsidRDefault="00B86DDF" w:rsidP="00A462DB">
            <w:pPr>
              <w:pStyle w:val="Tabletext"/>
              <w:numPr>
                <w:ilvl w:val="0"/>
                <w:numId w:val="33"/>
              </w:numPr>
              <w:spacing w:before="0" w:after="0" w:line="240" w:lineRule="auto"/>
              <w:ind w:left="313" w:hanging="313"/>
              <w:rPr>
                <w:rFonts w:cs="Times New Roman"/>
                <w:color w:val="1F497D" w:themeColor="text2"/>
              </w:rPr>
            </w:pPr>
            <w:r w:rsidRPr="005F7837">
              <w:rPr>
                <w:lang w:val="en-AU"/>
              </w:rPr>
              <w:t>Compensate the</w:t>
            </w:r>
            <w:r w:rsidR="00BD417E" w:rsidRPr="005F7837">
              <w:rPr>
                <w:lang w:val="en-AU"/>
              </w:rPr>
              <w:t xml:space="preserve"> </w:t>
            </w:r>
            <w:r w:rsidRPr="005F7837">
              <w:rPr>
                <w:lang w:val="en-AU"/>
              </w:rPr>
              <w:t>Government</w:t>
            </w:r>
          </w:p>
        </w:tc>
        <w:tc>
          <w:tcPr>
            <w:tcW w:w="2665"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2486CE8E" w14:textId="77777777" w:rsidR="00B86DDF" w:rsidRPr="005F7837" w:rsidRDefault="00B86DDF" w:rsidP="005F7837">
            <w:pPr>
              <w:pStyle w:val="Tabletext"/>
              <w:spacing w:before="0" w:after="0" w:line="240" w:lineRule="auto"/>
              <w:rPr>
                <w:rStyle w:val="ARPCTableBCReg"/>
                <w:rFonts w:ascii="Calibri-Light" w:eastAsia="Calibri-Light" w:hAnsi="Calibri-Light" w:cs="Calibri-Light"/>
                <w:sz w:val="18"/>
              </w:rPr>
            </w:pPr>
            <w:r w:rsidRPr="005F7837">
              <w:rPr>
                <w:rStyle w:val="ARPCTableBCReg"/>
                <w:rFonts w:ascii="Calibri-Light" w:eastAsia="Calibri-Light" w:hAnsi="Calibri-Light" w:cs="Calibri-Light"/>
                <w:sz w:val="18"/>
                <w:lang w:val="en-AU"/>
              </w:rPr>
              <w:t xml:space="preserve">Measure </w:t>
            </w:r>
            <w:r w:rsidR="007F31BF">
              <w:rPr>
                <w:rStyle w:val="ARPCTableBCReg"/>
                <w:rFonts w:ascii="Calibri-Light" w:eastAsia="Calibri-Light" w:hAnsi="Calibri-Light" w:cs="Calibri-Light"/>
                <w:sz w:val="18"/>
                <w:lang w:val="en-AU"/>
              </w:rPr>
              <w:t>4</w:t>
            </w:r>
            <w:r w:rsidRPr="005F7837">
              <w:rPr>
                <w:rStyle w:val="ARPCTableBCReg"/>
                <w:rFonts w:ascii="Calibri-Light" w:eastAsia="Calibri-Light" w:hAnsi="Calibri-Light" w:cs="Calibri-Light"/>
                <w:sz w:val="18"/>
                <w:lang w:val="en-AU"/>
              </w:rPr>
              <w:t>:</w:t>
            </w:r>
            <w:r w:rsidRPr="005F7837">
              <w:rPr>
                <w:rFonts w:eastAsia="Calibri-Light"/>
                <w:lang w:val="en-AU"/>
              </w:rPr>
              <w:t xml:space="preserve"> Payments to government</w:t>
            </w:r>
          </w:p>
        </w:tc>
        <w:tc>
          <w:tcPr>
            <w:tcW w:w="2381"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62AEEF8E" w14:textId="77777777" w:rsidR="00B86DDF" w:rsidRPr="00DF44C4" w:rsidRDefault="00B86DDF" w:rsidP="005F7837">
            <w:pPr>
              <w:pStyle w:val="Tabletext"/>
              <w:spacing w:before="0" w:after="0" w:line="240" w:lineRule="auto"/>
              <w:rPr>
                <w:rFonts w:eastAsia="Calibri-Light"/>
              </w:rPr>
            </w:pPr>
            <w:r w:rsidRPr="005F7837">
              <w:rPr>
                <w:rFonts w:eastAsia="Calibri-Light"/>
                <w:lang w:val="en-AU"/>
              </w:rPr>
              <w:t>Payments made as per Ministerial Direction</w:t>
            </w:r>
          </w:p>
        </w:tc>
        <w:tc>
          <w:tcPr>
            <w:tcW w:w="1474"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6C290FD9" w14:textId="77777777" w:rsidR="00B86DDF" w:rsidRPr="00FC6A5C" w:rsidRDefault="00DA19D6" w:rsidP="00DA19D6">
            <w:pPr>
              <w:pStyle w:val="Tabletext"/>
              <w:spacing w:before="0" w:after="0" w:line="240" w:lineRule="auto"/>
              <w:rPr>
                <w:rFonts w:eastAsia="Calibri-Light"/>
              </w:rPr>
            </w:pPr>
            <w:r>
              <w:rPr>
                <w:rFonts w:eastAsia="Calibri-Light"/>
                <w:lang w:val="en-AU"/>
              </w:rPr>
              <w:t>High, value of payment Limited</w:t>
            </w:r>
          </w:p>
        </w:tc>
      </w:tr>
      <w:tr w:rsidR="0074072A" w14:paraId="56037FA0" w14:textId="77777777" w:rsidTr="0074072A">
        <w:trPr>
          <w:trHeight w:val="364"/>
          <w:jc w:val="center"/>
        </w:trPr>
        <w:tc>
          <w:tcPr>
            <w:tcW w:w="2154" w:type="dxa"/>
            <w:tcBorders>
              <w:top w:val="single" w:sz="4" w:space="0" w:color="A6A6A6" w:themeColor="background1" w:themeShade="A6"/>
              <w:left w:val="nil"/>
              <w:bottom w:val="nil"/>
              <w:right w:val="nil"/>
            </w:tcBorders>
            <w:shd w:val="clear" w:color="auto" w:fill="F3F3F3"/>
          </w:tcPr>
          <w:p w14:paraId="256F5371" w14:textId="77777777" w:rsidR="0074072A" w:rsidRPr="00FC6A5C" w:rsidRDefault="0074072A" w:rsidP="00A462DB">
            <w:pPr>
              <w:pStyle w:val="Tabletext"/>
              <w:numPr>
                <w:ilvl w:val="0"/>
                <w:numId w:val="33"/>
              </w:numPr>
              <w:spacing w:before="0" w:after="0" w:line="240" w:lineRule="auto"/>
              <w:ind w:left="313" w:hanging="313"/>
              <w:rPr>
                <w:rFonts w:cs="Times New Roman"/>
                <w:color w:val="1F497D" w:themeColor="text2"/>
              </w:rPr>
            </w:pPr>
            <w:r w:rsidRPr="005F7837">
              <w:rPr>
                <w:lang w:val="en-AU"/>
              </w:rPr>
              <w:t>Maintain financial sustainability and organisational resilience</w:t>
            </w:r>
          </w:p>
        </w:tc>
        <w:tc>
          <w:tcPr>
            <w:tcW w:w="2665"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3AE0D404" w14:textId="77777777" w:rsidR="0074072A" w:rsidRPr="002560CD" w:rsidRDefault="0074072A" w:rsidP="005F7837">
            <w:pPr>
              <w:pStyle w:val="Tabletext"/>
              <w:spacing w:before="0" w:after="0" w:line="240" w:lineRule="auto"/>
              <w:rPr>
                <w:rFonts w:eastAsia="Calibri-Light"/>
                <w:lang w:val="en-AU"/>
              </w:rPr>
            </w:pPr>
            <w:r w:rsidRPr="005F7837">
              <w:rPr>
                <w:rStyle w:val="ARPCTableBCReg"/>
                <w:rFonts w:ascii="Calibri-Light" w:eastAsia="Calibri-Light" w:hAnsi="Calibri-Light" w:cs="Calibri-Light"/>
                <w:sz w:val="18"/>
                <w:lang w:val="en-AU"/>
              </w:rPr>
              <w:t xml:space="preserve">Measure </w:t>
            </w:r>
            <w:r>
              <w:rPr>
                <w:rStyle w:val="ARPCTableBCReg"/>
                <w:rFonts w:ascii="Calibri-Light" w:eastAsia="Calibri-Light" w:hAnsi="Calibri-Light" w:cs="Calibri-Light"/>
                <w:sz w:val="18"/>
                <w:lang w:val="en-AU"/>
              </w:rPr>
              <w:t>5</w:t>
            </w:r>
            <w:r w:rsidRPr="005F7837">
              <w:rPr>
                <w:rStyle w:val="ARPCTableBCReg"/>
                <w:rFonts w:ascii="Calibri-Light" w:eastAsia="Calibri-Light" w:hAnsi="Calibri-Light" w:cs="Calibri-Light"/>
                <w:sz w:val="18"/>
                <w:lang w:val="en-AU"/>
              </w:rPr>
              <w:t>:</w:t>
            </w:r>
            <w:r w:rsidRPr="005F7837">
              <w:rPr>
                <w:rFonts w:eastAsia="Calibri-Light"/>
                <w:lang w:val="en-AU"/>
              </w:rPr>
              <w:t xml:space="preserve"> Net assets against ARPC target and minimum capital</w:t>
            </w:r>
          </w:p>
        </w:tc>
        <w:tc>
          <w:tcPr>
            <w:tcW w:w="2381"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5E327F9C" w14:textId="77777777" w:rsidR="0074072A" w:rsidRPr="00DF44C4" w:rsidRDefault="0074072A" w:rsidP="005F7837">
            <w:pPr>
              <w:pStyle w:val="Tabletext"/>
              <w:spacing w:before="0" w:after="0" w:line="240" w:lineRule="auto"/>
              <w:rPr>
                <w:rFonts w:eastAsia="Calibri-Light"/>
              </w:rPr>
            </w:pPr>
            <w:r w:rsidRPr="005F7837">
              <w:rPr>
                <w:rFonts w:eastAsia="Calibri-Light"/>
                <w:lang w:val="en-AU"/>
              </w:rPr>
              <w:t>Net assets at or above $</w:t>
            </w:r>
            <w:r>
              <w:rPr>
                <w:rFonts w:eastAsia="Calibri-Light"/>
                <w:lang w:val="en-AU"/>
              </w:rPr>
              <w:t>400</w:t>
            </w:r>
            <w:r w:rsidRPr="005F7837">
              <w:rPr>
                <w:rFonts w:eastAsia="Calibri-Light"/>
                <w:lang w:val="en-AU"/>
              </w:rPr>
              <w:t xml:space="preserve"> million</w:t>
            </w:r>
          </w:p>
        </w:tc>
        <w:tc>
          <w:tcPr>
            <w:tcW w:w="1474"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52565B90" w14:textId="77777777" w:rsidR="0074072A" w:rsidRPr="00DF44C4" w:rsidRDefault="0074072A" w:rsidP="005F7837">
            <w:pPr>
              <w:pStyle w:val="Tabletext"/>
              <w:spacing w:before="0" w:after="0" w:line="240" w:lineRule="auto"/>
              <w:rPr>
                <w:rFonts w:eastAsia="Calibri-Light"/>
              </w:rPr>
            </w:pPr>
            <w:r w:rsidRPr="005F7837">
              <w:rPr>
                <w:rFonts w:eastAsia="Calibri-Light"/>
                <w:lang w:val="en-AU"/>
              </w:rPr>
              <w:t>Limited</w:t>
            </w:r>
          </w:p>
        </w:tc>
      </w:tr>
      <w:tr w:rsidR="0074072A" w14:paraId="5B301605" w14:textId="77777777" w:rsidTr="0074072A">
        <w:trPr>
          <w:trHeight w:val="364"/>
          <w:jc w:val="center"/>
        </w:trPr>
        <w:tc>
          <w:tcPr>
            <w:tcW w:w="2154" w:type="dxa"/>
            <w:tcBorders>
              <w:top w:val="nil"/>
              <w:left w:val="nil"/>
              <w:bottom w:val="single" w:sz="4" w:space="0" w:color="A6A6A6" w:themeColor="background1" w:themeShade="A6"/>
              <w:right w:val="nil"/>
            </w:tcBorders>
            <w:shd w:val="clear" w:color="auto" w:fill="F3F3F3"/>
          </w:tcPr>
          <w:p w14:paraId="5F43EE92" w14:textId="77777777" w:rsidR="0074072A" w:rsidRPr="005F7837" w:rsidRDefault="0074072A" w:rsidP="002560CD">
            <w:pPr>
              <w:pStyle w:val="Tabletext"/>
              <w:spacing w:before="0" w:after="0" w:line="240" w:lineRule="auto"/>
              <w:rPr>
                <w:rFonts w:cs="Times New Roman"/>
                <w:b/>
                <w:color w:val="1F497D" w:themeColor="text2"/>
              </w:rPr>
            </w:pPr>
          </w:p>
        </w:tc>
        <w:tc>
          <w:tcPr>
            <w:tcW w:w="2665"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4C2441E3" w14:textId="77777777" w:rsidR="0074072A" w:rsidRPr="002560CD" w:rsidRDefault="0074072A" w:rsidP="00A462DB">
            <w:pPr>
              <w:pStyle w:val="Tabletext"/>
              <w:spacing w:before="0" w:after="0" w:line="240" w:lineRule="auto"/>
              <w:rPr>
                <w:rStyle w:val="ARPCTableBCReg"/>
                <w:rFonts w:ascii="Calibri-Light" w:eastAsia="Calibri-Light" w:hAnsi="Calibri-Light" w:cs="Calibri-Light"/>
                <w:sz w:val="18"/>
              </w:rPr>
            </w:pPr>
            <w:r w:rsidRPr="005F7837">
              <w:rPr>
                <w:rStyle w:val="ARPCTableBCReg"/>
                <w:rFonts w:ascii="Calibri-Light" w:eastAsia="Calibri-Light" w:hAnsi="Calibri-Light" w:cs="Calibri-Light"/>
                <w:sz w:val="18"/>
                <w:lang w:val="en-AU"/>
              </w:rPr>
              <w:t xml:space="preserve">Measure </w:t>
            </w:r>
            <w:r>
              <w:rPr>
                <w:rStyle w:val="ARPCTableBCReg"/>
                <w:rFonts w:ascii="Calibri-Light" w:eastAsia="Calibri-Light" w:hAnsi="Calibri-Light" w:cs="Calibri-Light"/>
                <w:sz w:val="18"/>
                <w:lang w:val="en-AU"/>
              </w:rPr>
              <w:t>6</w:t>
            </w:r>
            <w:r w:rsidRPr="005F7837">
              <w:rPr>
                <w:rStyle w:val="ARPCTableBCReg"/>
                <w:rFonts w:ascii="Calibri-Light" w:eastAsia="Calibri-Light" w:hAnsi="Calibri-Light" w:cs="Calibri-Light"/>
                <w:sz w:val="18"/>
                <w:lang w:val="en-AU"/>
              </w:rPr>
              <w:t>:</w:t>
            </w:r>
            <w:r>
              <w:rPr>
                <w:rStyle w:val="ARPCTableBCReg"/>
                <w:rFonts w:ascii="Calibri-Light" w:eastAsia="Calibri-Light" w:hAnsi="Calibri-Light" w:cs="Calibri-Light"/>
                <w:sz w:val="18"/>
                <w:lang w:val="en-AU"/>
              </w:rPr>
              <w:t xml:space="preserve"> </w:t>
            </w:r>
            <w:r w:rsidRPr="0084733C">
              <w:rPr>
                <w:rFonts w:eastAsia="Calibri-Light"/>
                <w:lang w:val="en-AU"/>
              </w:rPr>
              <w:t>Successful progression or completion</w:t>
            </w:r>
            <w:r w:rsidRPr="0084733C">
              <w:rPr>
                <w:rFonts w:eastAsia="Calibri-Light"/>
              </w:rPr>
              <w:t xml:space="preserve"> of strategic projects</w:t>
            </w:r>
          </w:p>
        </w:tc>
        <w:tc>
          <w:tcPr>
            <w:tcW w:w="2381"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26007C0E" w14:textId="77777777" w:rsidR="0074072A" w:rsidRPr="002560CD" w:rsidRDefault="0074072A" w:rsidP="002560CD">
            <w:pPr>
              <w:pStyle w:val="Tabletext"/>
              <w:spacing w:before="0" w:after="0" w:line="240" w:lineRule="auto"/>
              <w:rPr>
                <w:rFonts w:eastAsia="Calibri-Light"/>
                <w:lang w:val="en-AU"/>
              </w:rPr>
            </w:pPr>
            <w:r w:rsidRPr="002560CD">
              <w:rPr>
                <w:rFonts w:eastAsia="Calibri-Light"/>
              </w:rPr>
              <w:t>Projects progressed and/or completed according to plan</w:t>
            </w:r>
          </w:p>
        </w:tc>
        <w:tc>
          <w:tcPr>
            <w:tcW w:w="1474" w:type="dxa"/>
            <w:tcBorders>
              <w:top w:val="single" w:sz="4" w:space="0" w:color="A6A6A6" w:themeColor="background1" w:themeShade="A6"/>
              <w:left w:val="single" w:sz="4" w:space="0" w:color="D9D9D9" w:themeColor="background1" w:themeShade="D9"/>
              <w:bottom w:val="single" w:sz="4" w:space="0" w:color="A6A6A6" w:themeColor="background1" w:themeShade="A6"/>
              <w:right w:val="nil"/>
            </w:tcBorders>
            <w:shd w:val="clear" w:color="auto" w:fill="auto"/>
          </w:tcPr>
          <w:p w14:paraId="7BA3EFB6" w14:textId="77777777" w:rsidR="0074072A" w:rsidRPr="002560CD" w:rsidRDefault="0074072A" w:rsidP="002560CD">
            <w:pPr>
              <w:pStyle w:val="Tabletext"/>
              <w:spacing w:before="0" w:after="0" w:line="240" w:lineRule="auto"/>
              <w:rPr>
                <w:rFonts w:eastAsia="Calibri-Light"/>
                <w:lang w:val="en-AU"/>
              </w:rPr>
            </w:pPr>
            <w:r w:rsidRPr="005F7837">
              <w:rPr>
                <w:rFonts w:eastAsia="Calibri-Light"/>
                <w:lang w:val="en-AU"/>
              </w:rPr>
              <w:t>High</w:t>
            </w:r>
          </w:p>
        </w:tc>
      </w:tr>
    </w:tbl>
    <w:p w14:paraId="7B60A4EF" w14:textId="77777777" w:rsidR="00B86DDF" w:rsidRPr="001E51FE" w:rsidRDefault="00D30251">
      <w:pPr>
        <w:pStyle w:val="Heading3"/>
        <w:rPr>
          <w:b/>
          <w:bCs/>
        </w:rPr>
      </w:pPr>
      <w:bookmarkStart w:id="298" w:name="_Toc365707991"/>
      <w:bookmarkStart w:id="299" w:name="_Toc513214504"/>
      <w:bookmarkStart w:id="300" w:name="_Toc513559346"/>
      <w:bookmarkStart w:id="301" w:name="_Toc513722801"/>
      <w:bookmarkStart w:id="302" w:name="_Toc513722880"/>
      <w:bookmarkStart w:id="303" w:name="_Toc513732546"/>
      <w:bookmarkStart w:id="304" w:name="_Toc518251594"/>
      <w:bookmarkStart w:id="305" w:name="_Toc522221659"/>
      <w:r w:rsidRPr="3EE44551">
        <w:lastRenderedPageBreak/>
        <w:t>K</w:t>
      </w:r>
      <w:r>
        <w:t>ey Performance Indicator (KPI) d</w:t>
      </w:r>
      <w:r w:rsidRPr="3EE44551">
        <w:t>etail</w:t>
      </w:r>
      <w:bookmarkEnd w:id="298"/>
      <w:bookmarkEnd w:id="299"/>
      <w:bookmarkEnd w:id="300"/>
      <w:bookmarkEnd w:id="301"/>
      <w:bookmarkEnd w:id="302"/>
      <w:bookmarkEnd w:id="303"/>
      <w:bookmarkEnd w:id="304"/>
      <w:bookmarkEnd w:id="305"/>
    </w:p>
    <w:p w14:paraId="45A46B2C" w14:textId="77777777" w:rsidR="00B86DDF" w:rsidRDefault="002F2D61">
      <w:pPr>
        <w:pStyle w:val="Heading4"/>
      </w:pPr>
      <w:bookmarkStart w:id="306" w:name="_Toc513212701"/>
      <w:bookmarkStart w:id="307" w:name="_Toc513213219"/>
      <w:bookmarkStart w:id="308" w:name="_Toc513214505"/>
      <w:r>
        <w:t>KPI</w:t>
      </w:r>
      <w:r w:rsidRPr="002F2D61">
        <w:t xml:space="preserve"> 1: provide reinsurance for eligible terrorism losses</w:t>
      </w:r>
      <w:bookmarkEnd w:id="306"/>
      <w:bookmarkEnd w:id="307"/>
      <w:bookmarkEnd w:id="3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8296"/>
      </w:tblGrid>
      <w:tr w:rsidR="00A462DB" w14:paraId="36CDC741" w14:textId="77777777" w:rsidTr="00A462DB">
        <w:tc>
          <w:tcPr>
            <w:tcW w:w="8296" w:type="dxa"/>
            <w:shd w:val="clear" w:color="auto" w:fill="F2F2F2" w:themeFill="background1" w:themeFillShade="F2"/>
          </w:tcPr>
          <w:p w14:paraId="4FB044AF" w14:textId="77777777" w:rsidR="00A462DB" w:rsidRPr="006D5BEB" w:rsidRDefault="00A462DB" w:rsidP="00A462DB">
            <w:pPr>
              <w:pStyle w:val="MeasureLight"/>
              <w:tabs>
                <w:tab w:val="clear" w:pos="1134"/>
                <w:tab w:val="left" w:pos="1418"/>
              </w:tabs>
              <w:spacing w:after="40"/>
              <w:ind w:left="0" w:firstLine="0"/>
              <w:rPr>
                <w:rFonts w:ascii="Calibri" w:hAnsi="Calibri"/>
                <w:b/>
                <w:bCs/>
              </w:rPr>
            </w:pPr>
            <w:r w:rsidRPr="002A2F3B">
              <w:rPr>
                <w:rFonts w:ascii="Calibri" w:hAnsi="Calibri"/>
                <w:b/>
                <w:bCs/>
              </w:rPr>
              <w:t>Measure 1: Income – Gross written premium</w:t>
            </w:r>
          </w:p>
          <w:p w14:paraId="3847D547" w14:textId="77777777" w:rsidR="00A462DB" w:rsidRDefault="00A462DB" w:rsidP="00A462DB">
            <w:pPr>
              <w:pStyle w:val="MeasureLight"/>
              <w:tabs>
                <w:tab w:val="clear" w:pos="1134"/>
                <w:tab w:val="left" w:pos="1418"/>
              </w:tabs>
              <w:spacing w:after="0"/>
              <w:ind w:left="0" w:firstLine="0"/>
            </w:pPr>
            <w:r>
              <w:t>To improve financial sustainability and achieve higher than the target premium in each plan period.</w:t>
            </w:r>
          </w:p>
        </w:tc>
      </w:tr>
    </w:tbl>
    <w:p w14:paraId="0F61E6E0" w14:textId="77777777" w:rsidR="00B86DDF" w:rsidRPr="00137E4A" w:rsidRDefault="00B86DDF" w:rsidP="005F7837">
      <w:pPr>
        <w:pStyle w:val="Bodytext"/>
      </w:pPr>
      <w:bookmarkStart w:id="309" w:name="_Toc513212702"/>
      <w:bookmarkStart w:id="310" w:name="_Toc513213220"/>
      <w:bookmarkStart w:id="311" w:name="_Toc513214506"/>
      <w:bookmarkStart w:id="312" w:name="_Toc513559347"/>
      <w:bookmarkStart w:id="313" w:name="_Toc513722802"/>
      <w:bookmarkStart w:id="314" w:name="_Toc513722881"/>
      <w:bookmarkStart w:id="315" w:name="_Toc513724238"/>
      <w:bookmarkStart w:id="316" w:name="_Toc513732547"/>
      <w:r>
        <w:t xml:space="preserve">This is ARPC’s functional obligation as prescribed by section 10 of the TI Act. Over the period covered by the Corporate Plan, the success for this activity will be measured by ARPC’s total premium income, with the target premium level for the forecast period being </w:t>
      </w:r>
      <w:r w:rsidRPr="0045762B">
        <w:t>$140 million</w:t>
      </w:r>
      <w:r>
        <w:t>.</w:t>
      </w:r>
      <w:bookmarkEnd w:id="309"/>
      <w:bookmarkEnd w:id="310"/>
      <w:bookmarkEnd w:id="311"/>
      <w:bookmarkEnd w:id="312"/>
      <w:bookmarkEnd w:id="313"/>
      <w:bookmarkEnd w:id="314"/>
      <w:bookmarkEnd w:id="315"/>
      <w:bookmarkEnd w:id="316"/>
    </w:p>
    <w:p w14:paraId="39E2E62F" w14:textId="77777777" w:rsidR="00B86DDF" w:rsidRDefault="00B86DDF" w:rsidP="005F7837">
      <w:pPr>
        <w:pStyle w:val="Bodytext"/>
        <w:rPr>
          <w:rStyle w:val="Figure"/>
        </w:rPr>
      </w:pPr>
      <w:bookmarkStart w:id="317" w:name="_Toc513212703"/>
      <w:bookmarkStart w:id="318" w:name="_Toc513213221"/>
      <w:bookmarkStart w:id="319" w:name="_Toc513214507"/>
      <w:bookmarkStart w:id="320" w:name="_Toc513559348"/>
      <w:bookmarkStart w:id="321" w:name="_Toc513722803"/>
      <w:bookmarkStart w:id="322" w:name="_Toc513722882"/>
      <w:bookmarkStart w:id="323" w:name="_Toc513724239"/>
      <w:bookmarkStart w:id="324" w:name="_Toc513732548"/>
      <w:r w:rsidRPr="00DF44C4">
        <w:rPr>
          <w:rStyle w:val="Figure"/>
        </w:rPr>
        <w:t xml:space="preserve">Figure </w:t>
      </w:r>
      <w:r w:rsidR="009A6F10">
        <w:rPr>
          <w:rStyle w:val="Figure"/>
        </w:rPr>
        <w:t>6</w:t>
      </w:r>
      <w:r w:rsidRPr="005F7837">
        <w:rPr>
          <w:rStyle w:val="Figure"/>
        </w:rPr>
        <w:t>.2: Gross written premium</w:t>
      </w:r>
      <w:bookmarkEnd w:id="317"/>
      <w:bookmarkEnd w:id="318"/>
      <w:bookmarkEnd w:id="319"/>
      <w:bookmarkEnd w:id="320"/>
      <w:bookmarkEnd w:id="321"/>
      <w:bookmarkEnd w:id="322"/>
      <w:bookmarkEnd w:id="323"/>
      <w:bookmarkEnd w:id="324"/>
    </w:p>
    <w:p w14:paraId="50A56580" w14:textId="77777777" w:rsidR="00A462DB" w:rsidRDefault="00A462DB" w:rsidP="005F7837">
      <w:pPr>
        <w:pStyle w:val="Bodytext"/>
        <w:rPr>
          <w:rStyle w:val="Figure"/>
        </w:rPr>
      </w:pPr>
      <w:r>
        <w:rPr>
          <w:b/>
          <w:noProof/>
          <w:color w:val="184C8D"/>
          <w:sz w:val="20"/>
          <w:lang w:eastAsia="en-AU"/>
        </w:rPr>
        <w:drawing>
          <wp:inline distT="0" distB="0" distL="0" distR="0" wp14:anchorId="25BDDE7C" wp14:editId="000CF39F">
            <wp:extent cx="5352042" cy="3387256"/>
            <wp:effectExtent l="0" t="0" r="1270" b="3810"/>
            <wp:docPr id="27" name="Picture 27" descr="Gross written premium" title="Figure 6.2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easure 1 ÔÇô Premium Income Aug18.jpg"/>
                    <pic:cNvPicPr/>
                  </pic:nvPicPr>
                  <pic:blipFill rotWithShape="1">
                    <a:blip r:embed="rId28"/>
                    <a:srcRect l="5125" t="4667" r="4110" b="6398"/>
                    <a:stretch/>
                  </pic:blipFill>
                  <pic:spPr bwMode="auto">
                    <a:xfrm>
                      <a:off x="0" y="0"/>
                      <a:ext cx="5364927" cy="3395411"/>
                    </a:xfrm>
                    <a:prstGeom prst="rect">
                      <a:avLst/>
                    </a:prstGeom>
                    <a:ln>
                      <a:noFill/>
                    </a:ln>
                    <a:extLst>
                      <a:ext uri="{53640926-AAD7-44D8-BBD7-CCE9431645EC}">
                        <a14:shadowObscured xmlns:a14="http://schemas.microsoft.com/office/drawing/2010/main"/>
                      </a:ext>
                    </a:extLst>
                  </pic:spPr>
                </pic:pic>
              </a:graphicData>
            </a:graphic>
          </wp:inline>
        </w:drawing>
      </w:r>
    </w:p>
    <w:p w14:paraId="7433C3D3" w14:textId="789C237A" w:rsidR="00B86DDF" w:rsidRDefault="00755AC9" w:rsidP="00E46D3E">
      <w:pPr>
        <w:pStyle w:val="ARPCBodyCopy"/>
        <w:rPr>
          <w:rFonts w:eastAsia="Calibri" w:cs="Calibri"/>
        </w:rPr>
      </w:pPr>
      <w:r>
        <w:rPr>
          <w:rFonts w:eastAsia="Calibri" w:cs="Calibri"/>
        </w:rPr>
        <w:t xml:space="preserve">During the current year there has been some increases in commercial property </w:t>
      </w:r>
      <w:r w:rsidR="007A0232">
        <w:rPr>
          <w:rFonts w:eastAsia="Calibri" w:cs="Calibri"/>
        </w:rPr>
        <w:t xml:space="preserve">insurance </w:t>
      </w:r>
      <w:r>
        <w:rPr>
          <w:rFonts w:eastAsia="Calibri" w:cs="Calibri"/>
        </w:rPr>
        <w:t>premiums</w:t>
      </w:r>
      <w:r w:rsidR="00062182">
        <w:rPr>
          <w:rFonts w:eastAsia="Calibri" w:cs="Calibri"/>
        </w:rPr>
        <w:t xml:space="preserve"> as insurers </w:t>
      </w:r>
      <w:r w:rsidR="007A0232">
        <w:rPr>
          <w:rFonts w:eastAsia="Calibri" w:cs="Calibri"/>
        </w:rPr>
        <w:t xml:space="preserve">have </w:t>
      </w:r>
      <w:r w:rsidR="000A1B10">
        <w:rPr>
          <w:rFonts w:eastAsia="Calibri" w:cs="Calibri"/>
        </w:rPr>
        <w:t>raised</w:t>
      </w:r>
      <w:r w:rsidR="007A0232">
        <w:rPr>
          <w:rFonts w:eastAsia="Calibri" w:cs="Calibri"/>
        </w:rPr>
        <w:t xml:space="preserve"> prices </w:t>
      </w:r>
      <w:r w:rsidR="00062182">
        <w:rPr>
          <w:rFonts w:eastAsia="Calibri" w:cs="Calibri"/>
        </w:rPr>
        <w:t xml:space="preserve">to offset </w:t>
      </w:r>
      <w:r w:rsidR="000A1B10">
        <w:rPr>
          <w:rFonts w:eastAsia="Calibri" w:cs="Calibri"/>
        </w:rPr>
        <w:t>higher</w:t>
      </w:r>
      <w:r w:rsidR="00062182">
        <w:rPr>
          <w:rFonts w:eastAsia="Calibri" w:cs="Calibri"/>
        </w:rPr>
        <w:t xml:space="preserve"> reinsurance costs </w:t>
      </w:r>
      <w:r w:rsidR="00553F27">
        <w:rPr>
          <w:rFonts w:eastAsia="Calibri" w:cs="Calibri"/>
        </w:rPr>
        <w:t xml:space="preserve">owing </w:t>
      </w:r>
      <w:r w:rsidR="00062182">
        <w:rPr>
          <w:rFonts w:eastAsia="Calibri" w:cs="Calibri"/>
        </w:rPr>
        <w:t>to increased global natural catastrophe losses during 2017.</w:t>
      </w:r>
    </w:p>
    <w:p w14:paraId="1909FB1B" w14:textId="06778924" w:rsidR="003F0009" w:rsidRDefault="003F0009" w:rsidP="00E46D3E">
      <w:pPr>
        <w:pStyle w:val="ARPCBodyCopy"/>
        <w:rPr>
          <w:rFonts w:eastAsia="Calibri" w:cs="Calibri"/>
        </w:rPr>
      </w:pPr>
    </w:p>
    <w:p w14:paraId="32D4D7A3" w14:textId="2A614C7A" w:rsidR="003F0009" w:rsidRDefault="003F0009" w:rsidP="00E46D3E">
      <w:pPr>
        <w:pStyle w:val="ARPCBodyCopy"/>
        <w:rPr>
          <w:rFonts w:eastAsia="Calibri" w:cs="Calibri"/>
        </w:rPr>
      </w:pPr>
    </w:p>
    <w:p w14:paraId="71BFAA00" w14:textId="60E9BF5A" w:rsidR="003F0009" w:rsidRDefault="003F0009" w:rsidP="00E46D3E">
      <w:pPr>
        <w:pStyle w:val="ARPCBodyCopy"/>
        <w:rPr>
          <w:rFonts w:eastAsia="Calibri" w:cs="Calibri"/>
        </w:rPr>
      </w:pPr>
    </w:p>
    <w:p w14:paraId="025EDB8E" w14:textId="77777777" w:rsidR="003F0009" w:rsidRDefault="003F0009" w:rsidP="00E46D3E">
      <w:pPr>
        <w:pStyle w:val="ARPCBodyCopy"/>
        <w:rPr>
          <w:rFonts w:eastAsia="Calibri" w:cs="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8296"/>
      </w:tblGrid>
      <w:tr w:rsidR="00A462DB" w14:paraId="28726E6E" w14:textId="77777777" w:rsidTr="0062631A">
        <w:tc>
          <w:tcPr>
            <w:tcW w:w="8296" w:type="dxa"/>
            <w:shd w:val="clear" w:color="auto" w:fill="F2F2F2" w:themeFill="background1" w:themeFillShade="F2"/>
          </w:tcPr>
          <w:p w14:paraId="00EC7E2D" w14:textId="77777777" w:rsidR="00A462DB" w:rsidRPr="006D5BEB" w:rsidRDefault="00A462DB" w:rsidP="00A462DB">
            <w:pPr>
              <w:pStyle w:val="MeasureLight"/>
              <w:tabs>
                <w:tab w:val="clear" w:pos="1134"/>
                <w:tab w:val="left" w:pos="1418"/>
              </w:tabs>
              <w:spacing w:after="40"/>
              <w:ind w:left="0" w:firstLine="0"/>
              <w:rPr>
                <w:rFonts w:ascii="Calibri" w:hAnsi="Calibri"/>
                <w:b/>
                <w:bCs/>
              </w:rPr>
            </w:pPr>
            <w:r w:rsidRPr="002A2F3B">
              <w:rPr>
                <w:rFonts w:ascii="Calibri" w:hAnsi="Calibri"/>
                <w:b/>
                <w:bCs/>
              </w:rPr>
              <w:lastRenderedPageBreak/>
              <w:t xml:space="preserve">Measure </w:t>
            </w:r>
            <w:r>
              <w:rPr>
                <w:rFonts w:ascii="Calibri" w:hAnsi="Calibri"/>
                <w:b/>
                <w:bCs/>
              </w:rPr>
              <w:t>2</w:t>
            </w:r>
            <w:r w:rsidRPr="002A2F3B">
              <w:rPr>
                <w:rFonts w:ascii="Calibri" w:hAnsi="Calibri"/>
                <w:b/>
                <w:bCs/>
              </w:rPr>
              <w:t xml:space="preserve">: </w:t>
            </w:r>
            <w:r>
              <w:rPr>
                <w:rFonts w:ascii="Calibri" w:hAnsi="Calibri"/>
                <w:b/>
                <w:bCs/>
              </w:rPr>
              <w:t xml:space="preserve">Scheme capacity – Total funding available </w:t>
            </w:r>
          </w:p>
          <w:p w14:paraId="0BB13607" w14:textId="77777777" w:rsidR="00A462DB" w:rsidRDefault="00A462DB" w:rsidP="0062631A">
            <w:pPr>
              <w:pStyle w:val="MeasureLight"/>
              <w:tabs>
                <w:tab w:val="clear" w:pos="1134"/>
                <w:tab w:val="left" w:pos="1418"/>
              </w:tabs>
              <w:spacing w:after="0"/>
              <w:ind w:left="0" w:firstLine="0"/>
            </w:pPr>
            <w:r>
              <w:t>To protect the government from losses through the purchase of more than $2.5 billion in retrocession in each program period.</w:t>
            </w:r>
          </w:p>
        </w:tc>
      </w:tr>
    </w:tbl>
    <w:p w14:paraId="490346AB" w14:textId="77777777" w:rsidR="00B86DDF" w:rsidRPr="007B4938" w:rsidRDefault="00B86DDF" w:rsidP="00B86DDF">
      <w:pPr>
        <w:pStyle w:val="ARPCBodyCopy"/>
        <w:spacing w:before="360"/>
        <w:rPr>
          <w:lang w:val="en-AU"/>
        </w:rPr>
      </w:pPr>
      <w:r w:rsidRPr="3EE44551">
        <w:rPr>
          <w:lang w:val="en-AU"/>
        </w:rPr>
        <w:t xml:space="preserve">ARPC uses its premium income to purchase retrocession (reinsurance cover from private sector reinsurers) and to compensate the Australian Government for the Commonwealth </w:t>
      </w:r>
      <w:r w:rsidRPr="007B4938">
        <w:rPr>
          <w:lang w:val="en-AU"/>
        </w:rPr>
        <w:t xml:space="preserve">guarantee. Through ARPC’s retrocession program and the Commonwealth guarantee, ARPC has $13.4 billion in funding available </w:t>
      </w:r>
      <w:r w:rsidR="000A1B10">
        <w:rPr>
          <w:lang w:val="en-AU"/>
        </w:rPr>
        <w:t xml:space="preserve">to meet </w:t>
      </w:r>
      <w:r w:rsidRPr="007B4938">
        <w:rPr>
          <w:lang w:val="en-AU"/>
        </w:rPr>
        <w:t xml:space="preserve">DTI </w:t>
      </w:r>
      <w:r w:rsidR="000A1B10">
        <w:rPr>
          <w:lang w:val="en-AU"/>
        </w:rPr>
        <w:t>claims</w:t>
      </w:r>
      <w:r w:rsidRPr="007B4938">
        <w:rPr>
          <w:lang w:val="en-AU"/>
        </w:rPr>
        <w:t xml:space="preserve"> as at 30 June </w:t>
      </w:r>
      <w:r w:rsidR="00062182" w:rsidRPr="007B4938">
        <w:rPr>
          <w:lang w:val="en-AU"/>
        </w:rPr>
        <w:t>2018</w:t>
      </w:r>
      <w:r w:rsidRPr="007B4938">
        <w:rPr>
          <w:lang w:val="en-AU"/>
        </w:rPr>
        <w:t>.</w:t>
      </w:r>
    </w:p>
    <w:p w14:paraId="1DBAE201" w14:textId="77777777" w:rsidR="00B86DDF" w:rsidRPr="005721CE" w:rsidRDefault="00B86DDF" w:rsidP="00B86DDF">
      <w:pPr>
        <w:pStyle w:val="ARPCBodyCopy"/>
        <w:rPr>
          <w:color w:val="7F7F7F" w:themeColor="background1" w:themeShade="7F"/>
        </w:rPr>
      </w:pPr>
      <w:r w:rsidRPr="007B4938">
        <w:rPr>
          <w:rFonts w:eastAsia="Calibri" w:cs="Calibri"/>
          <w:lang w:val="en-AU"/>
        </w:rPr>
        <w:t>Since 2009, ARPC has purchased retrocession from global terrorism reinsurers, thereby transferring a large proportion of the risk to the private sector and reducing risk to the Australian Government. For 201</w:t>
      </w:r>
      <w:r w:rsidR="009A6F10" w:rsidRPr="007B4938">
        <w:rPr>
          <w:rFonts w:eastAsia="Calibri" w:cs="Calibri"/>
          <w:lang w:val="en-AU"/>
        </w:rPr>
        <w:t>8</w:t>
      </w:r>
      <w:r w:rsidRPr="007B4938">
        <w:rPr>
          <w:rFonts w:eastAsia="Calibri" w:cs="Calibri"/>
          <w:lang w:val="en-AU"/>
        </w:rPr>
        <w:t>, reinsurers, or ‘</w:t>
      </w:r>
      <w:proofErr w:type="spellStart"/>
      <w:r w:rsidRPr="007B4938">
        <w:rPr>
          <w:rFonts w:eastAsia="Calibri" w:cs="Calibri"/>
          <w:lang w:val="en-AU"/>
        </w:rPr>
        <w:t>retrocessionaires</w:t>
      </w:r>
      <w:proofErr w:type="spellEnd"/>
      <w:r w:rsidRPr="007B4938">
        <w:rPr>
          <w:rFonts w:eastAsia="Calibri" w:cs="Calibri"/>
          <w:lang w:val="en-AU"/>
        </w:rPr>
        <w:t>’, provide $3</w:t>
      </w:r>
      <w:r w:rsidR="009A6F10" w:rsidRPr="007B4938">
        <w:rPr>
          <w:rFonts w:eastAsia="Calibri" w:cs="Calibri"/>
          <w:lang w:val="en-AU"/>
        </w:rPr>
        <w:t>.065</w:t>
      </w:r>
      <w:r w:rsidR="00287960">
        <w:rPr>
          <w:rStyle w:val="FootnoteReference"/>
          <w:rFonts w:eastAsia="Calibri" w:cs="Calibri"/>
          <w:lang w:val="en-AU"/>
        </w:rPr>
        <w:footnoteReference w:id="5"/>
      </w:r>
      <w:r w:rsidRPr="007B4938">
        <w:rPr>
          <w:rFonts w:eastAsia="Calibri" w:cs="Calibri"/>
          <w:lang w:val="en-AU"/>
        </w:rPr>
        <w:t xml:space="preserve"> billion private cover for claim payments</w:t>
      </w:r>
      <w:r w:rsidR="00430FFF">
        <w:rPr>
          <w:rFonts w:eastAsia="Calibri" w:cs="Calibri"/>
          <w:lang w:val="en-AU"/>
        </w:rPr>
        <w:t xml:space="preserve"> above the </w:t>
      </w:r>
      <w:r w:rsidR="0057238B">
        <w:rPr>
          <w:rFonts w:eastAsia="Calibri" w:cs="Calibri"/>
          <w:lang w:val="en-AU"/>
        </w:rPr>
        <w:t xml:space="preserve">$285 million </w:t>
      </w:r>
      <w:r w:rsidR="00430FFF">
        <w:rPr>
          <w:rFonts w:eastAsia="Calibri" w:cs="Calibri"/>
          <w:lang w:val="en-AU"/>
        </w:rPr>
        <w:t xml:space="preserve">ARPC deductible and </w:t>
      </w:r>
      <w:r w:rsidR="0057238B">
        <w:rPr>
          <w:rFonts w:eastAsia="Calibri" w:cs="Calibri"/>
          <w:lang w:val="en-AU"/>
        </w:rPr>
        <w:t>any Industry retentions.</w:t>
      </w:r>
    </w:p>
    <w:p w14:paraId="257D1449" w14:textId="77777777" w:rsidR="00B86DDF" w:rsidRPr="00E835DB" w:rsidRDefault="00B86DDF" w:rsidP="00B86DDF">
      <w:pPr>
        <w:pStyle w:val="ARPCBodyCopy"/>
        <w:rPr>
          <w:rFonts w:eastAsia="Calibri" w:cs="Calibri"/>
          <w:lang w:val="en-AU"/>
        </w:rPr>
      </w:pPr>
      <w:r w:rsidRPr="3EE44551">
        <w:rPr>
          <w:rFonts w:eastAsia="Calibri" w:cs="Calibri"/>
          <w:lang w:val="en-AU"/>
        </w:rPr>
        <w:t xml:space="preserve">Each year, ARPC negotiates and places a retrocession program with major global reinsurers, seeking a placement that provides value-for-money while encouraging maximum global insurer participation. Participation in the ARPC retrocession program is restricted to reinsurers who hold a Standard &amp; Poor’s (or equivalent) long-term rating of A- or greater. </w:t>
      </w:r>
    </w:p>
    <w:p w14:paraId="4A7FF8C7" w14:textId="0C1993BB" w:rsidR="00B86DDF" w:rsidRDefault="00B86DDF" w:rsidP="00B86DDF">
      <w:pPr>
        <w:pStyle w:val="ARPCBodyCopy"/>
        <w:rPr>
          <w:rFonts w:eastAsia="Calibri" w:cs="Calibri"/>
          <w:lang w:val="en-AU"/>
        </w:rPr>
      </w:pPr>
      <w:r w:rsidRPr="74BAFD8E">
        <w:rPr>
          <w:rFonts w:eastAsia="Calibri" w:cs="Calibri"/>
          <w:lang w:val="en-AU"/>
        </w:rPr>
        <w:t xml:space="preserve">To measure success in this activity, ARPC measures total retrocession capacity purchased each calendar year and the total purchase cost, while continuing to monitor the number of participating </w:t>
      </w:r>
      <w:proofErr w:type="spellStart"/>
      <w:r w:rsidRPr="74BAFD8E">
        <w:rPr>
          <w:rFonts w:eastAsia="Calibri" w:cs="Calibri"/>
          <w:lang w:val="en-AU"/>
        </w:rPr>
        <w:t>retrocessionaires</w:t>
      </w:r>
      <w:proofErr w:type="spellEnd"/>
      <w:r w:rsidRPr="74BAFD8E">
        <w:rPr>
          <w:rFonts w:eastAsia="Calibri" w:cs="Calibri"/>
          <w:lang w:val="en-AU"/>
        </w:rPr>
        <w:t>.</w:t>
      </w:r>
      <w:r w:rsidR="00847031">
        <w:rPr>
          <w:rFonts w:eastAsia="Calibri" w:cs="Calibri"/>
          <w:lang w:val="en-AU"/>
        </w:rPr>
        <w:t xml:space="preserve"> </w:t>
      </w:r>
      <w:r w:rsidR="000F6B05">
        <w:rPr>
          <w:rFonts w:eastAsia="Calibri" w:cs="Calibri"/>
          <w:lang w:val="en-AU"/>
        </w:rPr>
        <w:t xml:space="preserve">See </w:t>
      </w:r>
      <w:r w:rsidR="000F6B05" w:rsidRPr="000F6B05">
        <w:rPr>
          <w:rFonts w:eastAsia="Calibri" w:cs="Calibri"/>
          <w:i/>
          <w:lang w:val="en-AU"/>
        </w:rPr>
        <w:t>Figure 6.3</w:t>
      </w:r>
      <w:r w:rsidR="000F6B05">
        <w:rPr>
          <w:rFonts w:eastAsia="Calibri" w:cs="Calibri"/>
          <w:lang w:val="en-AU"/>
        </w:rPr>
        <w:t xml:space="preserve"> Scheme capacity be</w:t>
      </w:r>
      <w:r w:rsidR="00E55C04">
        <w:rPr>
          <w:rFonts w:eastAsia="Calibri" w:cs="Calibri"/>
          <w:lang w:val="en-AU"/>
        </w:rPr>
        <w:t>fore the Commonwealth guarantee for further information.</w:t>
      </w:r>
    </w:p>
    <w:p w14:paraId="4C4528CE" w14:textId="143B3654" w:rsidR="003F0009" w:rsidRDefault="003F0009" w:rsidP="00B86DDF">
      <w:pPr>
        <w:pStyle w:val="ARPCBodyCopy"/>
        <w:rPr>
          <w:rFonts w:eastAsia="Calibri" w:cs="Calibri"/>
          <w:lang w:val="en-AU"/>
        </w:rPr>
      </w:pPr>
    </w:p>
    <w:p w14:paraId="3E9FF45B" w14:textId="3B14E505" w:rsidR="003F0009" w:rsidRDefault="003F0009" w:rsidP="00B86DDF">
      <w:pPr>
        <w:pStyle w:val="ARPCBodyCopy"/>
        <w:rPr>
          <w:rFonts w:eastAsia="Calibri" w:cs="Calibri"/>
          <w:lang w:val="en-AU"/>
        </w:rPr>
      </w:pPr>
    </w:p>
    <w:p w14:paraId="2BA2B6F3" w14:textId="63C00B8D" w:rsidR="003F0009" w:rsidRDefault="003F0009" w:rsidP="00B86DDF">
      <w:pPr>
        <w:pStyle w:val="ARPCBodyCopy"/>
        <w:rPr>
          <w:rFonts w:eastAsia="Calibri" w:cs="Calibri"/>
          <w:lang w:val="en-AU"/>
        </w:rPr>
      </w:pPr>
    </w:p>
    <w:p w14:paraId="598817E2" w14:textId="4D064E9D" w:rsidR="003F0009" w:rsidRDefault="003F0009" w:rsidP="00B86DDF">
      <w:pPr>
        <w:pStyle w:val="ARPCBodyCopy"/>
        <w:rPr>
          <w:rFonts w:eastAsia="Calibri" w:cs="Calibri"/>
          <w:lang w:val="en-AU"/>
        </w:rPr>
      </w:pPr>
    </w:p>
    <w:p w14:paraId="0602BAA0" w14:textId="72A1781C" w:rsidR="003F0009" w:rsidRDefault="003F0009" w:rsidP="00B86DDF">
      <w:pPr>
        <w:pStyle w:val="ARPCBodyCopy"/>
        <w:rPr>
          <w:rFonts w:eastAsia="Calibri" w:cs="Calibri"/>
          <w:lang w:val="en-AU"/>
        </w:rPr>
      </w:pPr>
    </w:p>
    <w:p w14:paraId="3789CC06" w14:textId="77777777" w:rsidR="003F0009" w:rsidRDefault="003F0009" w:rsidP="00B86DDF">
      <w:pPr>
        <w:pStyle w:val="ARPCBodyCopy"/>
        <w:rPr>
          <w:rFonts w:eastAsia="Calibri" w:cs="Calibri"/>
          <w:lang w:val="en-AU"/>
        </w:rPr>
      </w:pPr>
    </w:p>
    <w:p w14:paraId="795DF965" w14:textId="77777777" w:rsidR="003F0009" w:rsidRDefault="003F0009" w:rsidP="005F7837">
      <w:pPr>
        <w:pStyle w:val="Bodytext"/>
        <w:rPr>
          <w:rStyle w:val="Figure"/>
        </w:rPr>
      </w:pPr>
      <w:bookmarkStart w:id="325" w:name="_Toc513212706"/>
      <w:bookmarkStart w:id="326" w:name="_Toc513213224"/>
      <w:bookmarkStart w:id="327" w:name="_Toc513214510"/>
      <w:bookmarkStart w:id="328" w:name="_Toc513559349"/>
      <w:bookmarkStart w:id="329" w:name="_Toc513722804"/>
      <w:bookmarkStart w:id="330" w:name="_Toc513722883"/>
      <w:bookmarkStart w:id="331" w:name="_Toc513724240"/>
      <w:bookmarkStart w:id="332" w:name="_Toc513732549"/>
    </w:p>
    <w:p w14:paraId="10370A3A" w14:textId="77777777" w:rsidR="003F0009" w:rsidRDefault="003F0009" w:rsidP="005F7837">
      <w:pPr>
        <w:pStyle w:val="Bodytext"/>
        <w:rPr>
          <w:rStyle w:val="Figure"/>
        </w:rPr>
      </w:pPr>
    </w:p>
    <w:p w14:paraId="7163A585" w14:textId="77777777" w:rsidR="003F0009" w:rsidRDefault="003F0009" w:rsidP="005F7837">
      <w:pPr>
        <w:pStyle w:val="Bodytext"/>
        <w:rPr>
          <w:rStyle w:val="Figure"/>
        </w:rPr>
      </w:pPr>
    </w:p>
    <w:p w14:paraId="0D281B1A" w14:textId="77777777" w:rsidR="003F0009" w:rsidRDefault="003F0009" w:rsidP="005F7837">
      <w:pPr>
        <w:pStyle w:val="Bodytext"/>
        <w:rPr>
          <w:rStyle w:val="Figure"/>
        </w:rPr>
      </w:pPr>
    </w:p>
    <w:p w14:paraId="2A77D657" w14:textId="16D1E418" w:rsidR="00A462DB" w:rsidRDefault="0078564A" w:rsidP="005F7837">
      <w:pPr>
        <w:pStyle w:val="Bodytext"/>
        <w:rPr>
          <w:rStyle w:val="Figure"/>
        </w:rPr>
      </w:pPr>
      <w:r w:rsidRPr="00DF44C4">
        <w:rPr>
          <w:rStyle w:val="Figure"/>
        </w:rPr>
        <w:lastRenderedPageBreak/>
        <w:t xml:space="preserve">Figure </w:t>
      </w:r>
      <w:r w:rsidR="009A6F10">
        <w:rPr>
          <w:rStyle w:val="Figure"/>
        </w:rPr>
        <w:t>6</w:t>
      </w:r>
      <w:r w:rsidRPr="00DF44C4">
        <w:rPr>
          <w:rStyle w:val="Figure"/>
        </w:rPr>
        <w:t>.3</w:t>
      </w:r>
      <w:r w:rsidR="00B86DDF" w:rsidRPr="005F7837">
        <w:rPr>
          <w:rStyle w:val="Figure"/>
        </w:rPr>
        <w:t>: Scheme capacity</w:t>
      </w:r>
      <w:r w:rsidR="005C4E67">
        <w:rPr>
          <w:rStyle w:val="Figure"/>
        </w:rPr>
        <w:t xml:space="preserve"> </w:t>
      </w:r>
      <w:r w:rsidR="000F6B05">
        <w:rPr>
          <w:rStyle w:val="Figure"/>
        </w:rPr>
        <w:t>(including retrocession)</w:t>
      </w:r>
      <w:r w:rsidR="00B86DDF" w:rsidRPr="005F7837">
        <w:rPr>
          <w:rStyle w:val="Figure"/>
        </w:rPr>
        <w:t xml:space="preserve"> before the </w:t>
      </w:r>
      <w:r w:rsidR="00C579C3">
        <w:rPr>
          <w:rStyle w:val="Figure"/>
        </w:rPr>
        <w:t xml:space="preserve">Commonwealth </w:t>
      </w:r>
      <w:r w:rsidR="000F6B05">
        <w:rPr>
          <w:rStyle w:val="Figure"/>
        </w:rPr>
        <w:t>g</w:t>
      </w:r>
      <w:r w:rsidR="00C579C3">
        <w:rPr>
          <w:rStyle w:val="Figure"/>
        </w:rPr>
        <w:t xml:space="preserve">uarantee </w:t>
      </w:r>
    </w:p>
    <w:p w14:paraId="52669E99" w14:textId="77777777" w:rsidR="00A462DB" w:rsidRDefault="00A462DB" w:rsidP="005F7837">
      <w:pPr>
        <w:pStyle w:val="Bodytext"/>
        <w:rPr>
          <w:rStyle w:val="Figure"/>
        </w:rPr>
      </w:pPr>
      <w:r>
        <w:rPr>
          <w:b/>
          <w:noProof/>
          <w:color w:val="184C8D"/>
          <w:sz w:val="20"/>
          <w:lang w:eastAsia="en-AU"/>
        </w:rPr>
        <w:drawing>
          <wp:inline distT="0" distB="0" distL="0" distR="0" wp14:anchorId="0BEAD390" wp14:editId="4AC2E2A7">
            <wp:extent cx="5181557" cy="3506525"/>
            <wp:effectExtent l="0" t="0" r="635" b="0"/>
            <wp:docPr id="28" name="Picture 28" descr="Scheme capacity (including retrocession) before the Commonwealth guarantee" title="Figure 6.3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heme Capacity before the Commonwealth guarantee ÔÇô Calendar Year Aug18.jpg"/>
                    <pic:cNvPicPr/>
                  </pic:nvPicPr>
                  <pic:blipFill rotWithShape="1">
                    <a:blip r:embed="rId29"/>
                    <a:srcRect l="6031" t="6098" r="9080" b="7834"/>
                    <a:stretch/>
                  </pic:blipFill>
                  <pic:spPr bwMode="auto">
                    <a:xfrm>
                      <a:off x="0" y="0"/>
                      <a:ext cx="5195901" cy="3516232"/>
                    </a:xfrm>
                    <a:prstGeom prst="rect">
                      <a:avLst/>
                    </a:prstGeom>
                    <a:ln>
                      <a:noFill/>
                    </a:ln>
                    <a:extLst>
                      <a:ext uri="{53640926-AAD7-44D8-BBD7-CCE9431645EC}">
                        <a14:shadowObscured xmlns:a14="http://schemas.microsoft.com/office/drawing/2010/main"/>
                      </a:ext>
                    </a:extLst>
                  </pic:spPr>
                </pic:pic>
              </a:graphicData>
            </a:graphic>
          </wp:inline>
        </w:drawing>
      </w:r>
    </w:p>
    <w:p w14:paraId="45DF2900" w14:textId="77777777" w:rsidR="002E339E" w:rsidRDefault="002E339E">
      <w:pPr>
        <w:spacing w:after="0"/>
        <w:rPr>
          <w:rFonts w:ascii="Trebuchet MS" w:eastAsiaTheme="majorEastAsia" w:hAnsi="Trebuchet MS" w:cstheme="majorBidi"/>
          <w:b/>
          <w:caps/>
          <w:color w:val="4D4D4D"/>
          <w:sz w:val="24"/>
        </w:rPr>
      </w:pPr>
      <w:bookmarkStart w:id="333" w:name="_Toc513212708"/>
      <w:bookmarkStart w:id="334" w:name="_Toc513213226"/>
      <w:bookmarkStart w:id="335" w:name="_Toc513214512"/>
      <w:bookmarkEnd w:id="325"/>
      <w:bookmarkEnd w:id="326"/>
      <w:bookmarkEnd w:id="327"/>
      <w:bookmarkEnd w:id="328"/>
      <w:bookmarkEnd w:id="329"/>
      <w:bookmarkEnd w:id="330"/>
      <w:bookmarkEnd w:id="331"/>
      <w:bookmarkEnd w:id="332"/>
      <w:r>
        <w:br w:type="page"/>
      </w:r>
    </w:p>
    <w:p w14:paraId="1D34C18A" w14:textId="77777777" w:rsidR="00D30251" w:rsidRDefault="00D30251" w:rsidP="005F7837">
      <w:pPr>
        <w:pStyle w:val="Heading4"/>
      </w:pPr>
      <w:r w:rsidRPr="00D30251">
        <w:lastRenderedPageBreak/>
        <w:t>K</w:t>
      </w:r>
      <w:r>
        <w:t>PI</w:t>
      </w:r>
      <w:r w:rsidR="00E46D3E">
        <w:t xml:space="preserve"> 2</w:t>
      </w:r>
      <w:r w:rsidRPr="00D30251">
        <w:t>:</w:t>
      </w:r>
      <w:r w:rsidR="00E46D3E">
        <w:t xml:space="preserve"> Encourage p</w:t>
      </w:r>
      <w:r w:rsidRPr="00D30251">
        <w:t xml:space="preserve">rivate </w:t>
      </w:r>
      <w:r w:rsidR="00E46D3E">
        <w:t>sector participation t</w:t>
      </w:r>
      <w:r w:rsidRPr="00D30251">
        <w:t xml:space="preserve">hrough </w:t>
      </w:r>
      <w:r w:rsidR="008A48EA">
        <w:t>t</w:t>
      </w:r>
      <w:r w:rsidRPr="00D30251">
        <w:t>he</w:t>
      </w:r>
      <w:bookmarkEnd w:id="333"/>
      <w:bookmarkEnd w:id="334"/>
      <w:bookmarkEnd w:id="335"/>
      <w:r w:rsidRPr="00D30251">
        <w:t xml:space="preserve"> </w:t>
      </w:r>
      <w:bookmarkStart w:id="336" w:name="_Toc513212709"/>
      <w:bookmarkStart w:id="337" w:name="_Toc513213227"/>
      <w:bookmarkStart w:id="338" w:name="_Toc513214513"/>
      <w:r w:rsidR="00E46D3E">
        <w:t>r</w:t>
      </w:r>
      <w:r w:rsidRPr="00D30251">
        <w:t xml:space="preserve">etrocession </w:t>
      </w:r>
      <w:r w:rsidR="00E46D3E" w:rsidRPr="00D30251">
        <w:t>p</w:t>
      </w:r>
      <w:r w:rsidRPr="00D30251">
        <w:t>rogram</w:t>
      </w:r>
      <w:bookmarkEnd w:id="336"/>
      <w:bookmarkEnd w:id="337"/>
      <w:bookmarkEnd w:id="33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8296"/>
      </w:tblGrid>
      <w:tr w:rsidR="00A462DB" w14:paraId="733D3519" w14:textId="77777777" w:rsidTr="0062631A">
        <w:tc>
          <w:tcPr>
            <w:tcW w:w="8296" w:type="dxa"/>
            <w:shd w:val="clear" w:color="auto" w:fill="F2F2F2" w:themeFill="background1" w:themeFillShade="F2"/>
          </w:tcPr>
          <w:p w14:paraId="0BF18B20" w14:textId="77777777" w:rsidR="00A462DB" w:rsidRPr="006D5BEB" w:rsidRDefault="00A462DB" w:rsidP="00A462DB">
            <w:pPr>
              <w:pStyle w:val="MeasureLight"/>
              <w:tabs>
                <w:tab w:val="clear" w:pos="1134"/>
                <w:tab w:val="left" w:pos="1418"/>
              </w:tabs>
              <w:spacing w:after="40"/>
              <w:ind w:left="0" w:firstLine="0"/>
              <w:rPr>
                <w:rFonts w:ascii="Calibri" w:hAnsi="Calibri"/>
                <w:b/>
                <w:bCs/>
              </w:rPr>
            </w:pPr>
            <w:r w:rsidRPr="002A2F3B">
              <w:rPr>
                <w:rFonts w:ascii="Calibri" w:hAnsi="Calibri"/>
                <w:b/>
                <w:bCs/>
              </w:rPr>
              <w:t xml:space="preserve">Measure </w:t>
            </w:r>
            <w:r>
              <w:rPr>
                <w:rFonts w:ascii="Calibri" w:hAnsi="Calibri"/>
                <w:b/>
                <w:bCs/>
              </w:rPr>
              <w:t>3</w:t>
            </w:r>
            <w:r w:rsidRPr="002A2F3B">
              <w:rPr>
                <w:rFonts w:ascii="Calibri" w:hAnsi="Calibri"/>
                <w:b/>
                <w:bCs/>
              </w:rPr>
              <w:t xml:space="preserve">: Private </w:t>
            </w:r>
            <w:r>
              <w:rPr>
                <w:rFonts w:ascii="Calibri" w:hAnsi="Calibri"/>
                <w:b/>
                <w:bCs/>
              </w:rPr>
              <w:t xml:space="preserve">reinsurance </w:t>
            </w:r>
            <w:r w:rsidRPr="002A2F3B">
              <w:rPr>
                <w:rFonts w:ascii="Calibri" w:hAnsi="Calibri"/>
                <w:b/>
                <w:bCs/>
              </w:rPr>
              <w:t>sector participation</w:t>
            </w:r>
          </w:p>
          <w:p w14:paraId="4C7302BF" w14:textId="324CA823" w:rsidR="00A462DB" w:rsidRDefault="00A462DB" w:rsidP="0062631A">
            <w:pPr>
              <w:pStyle w:val="MeasureLight"/>
              <w:tabs>
                <w:tab w:val="clear" w:pos="1134"/>
                <w:tab w:val="left" w:pos="1418"/>
              </w:tabs>
              <w:spacing w:after="0"/>
              <w:ind w:left="0" w:firstLine="0"/>
            </w:pPr>
            <w:r>
              <w:t xml:space="preserve">The objective is to </w:t>
            </w:r>
            <w:proofErr w:type="spellStart"/>
            <w:r>
              <w:t>maximise</w:t>
            </w:r>
            <w:proofErr w:type="spellEnd"/>
            <w:r>
              <w:t xml:space="preserve"> private sector reinsurance participation in the retrocession program.</w:t>
            </w:r>
          </w:p>
        </w:tc>
      </w:tr>
    </w:tbl>
    <w:p w14:paraId="0E2AE683" w14:textId="77777777" w:rsidR="00B86DDF" w:rsidRPr="00CB6940" w:rsidRDefault="00B86DDF" w:rsidP="00A462DB">
      <w:pPr>
        <w:pStyle w:val="ARPCBodyCopy"/>
        <w:spacing w:before="360"/>
        <w:rPr>
          <w:lang w:val="en-AU"/>
        </w:rPr>
      </w:pPr>
      <w:r w:rsidRPr="00E835DB">
        <w:rPr>
          <w:lang w:val="en-AU"/>
        </w:rPr>
        <w:t>ARPC</w:t>
      </w:r>
      <w:r w:rsidRPr="00E835DB" w:rsidDel="00C72741">
        <w:rPr>
          <w:lang w:val="en-AU"/>
        </w:rPr>
        <w:t xml:space="preserve"> </w:t>
      </w:r>
      <w:r w:rsidRPr="00E835DB">
        <w:rPr>
          <w:lang w:val="en-AU"/>
        </w:rPr>
        <w:t>aims to maximise the participation of high credit quality reinsurers in the annual ARPC retrocession program. Each year</w:t>
      </w:r>
      <w:r>
        <w:rPr>
          <w:lang w:val="en-AU"/>
        </w:rPr>
        <w:t>,</w:t>
      </w:r>
      <w:r w:rsidRPr="00E835DB">
        <w:rPr>
          <w:lang w:val="en-AU"/>
        </w:rPr>
        <w:t xml:space="preserve"> ARPC </w:t>
      </w:r>
      <w:r w:rsidR="00F93BB1" w:rsidRPr="00E835DB">
        <w:rPr>
          <w:lang w:val="en-AU"/>
        </w:rPr>
        <w:t>seeks</w:t>
      </w:r>
      <w:r w:rsidRPr="00E835DB">
        <w:rPr>
          <w:lang w:val="en-AU"/>
        </w:rPr>
        <w:t xml:space="preserve"> more </w:t>
      </w:r>
      <w:r w:rsidRPr="00D55778">
        <w:rPr>
          <w:lang w:val="en-AU"/>
        </w:rPr>
        <w:t>than 15 high</w:t>
      </w:r>
      <w:r w:rsidRPr="00E835DB">
        <w:rPr>
          <w:lang w:val="en-AU"/>
        </w:rPr>
        <w:t xml:space="preserve"> credit quality reinsurers</w:t>
      </w:r>
      <w:r w:rsidRPr="00E835DB">
        <w:rPr>
          <w:vertAlign w:val="superscript"/>
          <w:lang w:val="en-AU"/>
        </w:rPr>
        <w:footnoteReference w:id="6"/>
      </w:r>
      <w:r w:rsidRPr="00E835DB">
        <w:rPr>
          <w:lang w:val="en-AU"/>
        </w:rPr>
        <w:t xml:space="preserve"> </w:t>
      </w:r>
      <w:r w:rsidR="00DA3D13">
        <w:rPr>
          <w:lang w:val="en-AU"/>
        </w:rPr>
        <w:t xml:space="preserve">to </w:t>
      </w:r>
      <w:r w:rsidRPr="00E835DB">
        <w:rPr>
          <w:lang w:val="en-AU"/>
        </w:rPr>
        <w:t>participate in the program. ARPC also aims to have more than 50 per cent of retrocession scheme capacity provided by APRA regulated reinsurers.</w:t>
      </w:r>
    </w:p>
    <w:p w14:paraId="1ED9EEC2" w14:textId="77777777" w:rsidR="00B86DDF" w:rsidRDefault="00E5312C" w:rsidP="005F7837">
      <w:pPr>
        <w:pStyle w:val="Bodytext"/>
        <w:rPr>
          <w:rStyle w:val="Figure"/>
        </w:rPr>
      </w:pPr>
      <w:bookmarkStart w:id="339" w:name="_Toc513212710"/>
      <w:bookmarkStart w:id="340" w:name="_Toc513213228"/>
      <w:bookmarkStart w:id="341" w:name="_Toc513214514"/>
      <w:bookmarkStart w:id="342" w:name="_Toc513559351"/>
      <w:bookmarkStart w:id="343" w:name="_Toc513722806"/>
      <w:bookmarkStart w:id="344" w:name="_Toc513722885"/>
      <w:bookmarkStart w:id="345" w:name="_Toc513724242"/>
      <w:bookmarkStart w:id="346" w:name="_Toc513732551"/>
      <w:r w:rsidRPr="00DF44C4">
        <w:rPr>
          <w:rStyle w:val="Figure"/>
        </w:rPr>
        <w:t xml:space="preserve">Figure </w:t>
      </w:r>
      <w:r w:rsidR="00A45169">
        <w:rPr>
          <w:rStyle w:val="Figure"/>
        </w:rPr>
        <w:t>6</w:t>
      </w:r>
      <w:r w:rsidRPr="00DF44C4">
        <w:rPr>
          <w:rStyle w:val="Figure"/>
        </w:rPr>
        <w:t>.</w:t>
      </w:r>
      <w:r w:rsidR="006367AF">
        <w:rPr>
          <w:rStyle w:val="Figure"/>
        </w:rPr>
        <w:t>4</w:t>
      </w:r>
      <w:r w:rsidR="00B86DDF" w:rsidRPr="005F7837">
        <w:rPr>
          <w:rStyle w:val="Figure"/>
        </w:rPr>
        <w:t>: Retrocession Program Detail</w:t>
      </w:r>
      <w:bookmarkEnd w:id="339"/>
      <w:bookmarkEnd w:id="340"/>
      <w:bookmarkEnd w:id="341"/>
      <w:bookmarkEnd w:id="342"/>
      <w:bookmarkEnd w:id="343"/>
      <w:bookmarkEnd w:id="344"/>
      <w:bookmarkEnd w:id="345"/>
      <w:bookmarkEnd w:id="346"/>
    </w:p>
    <w:p w14:paraId="29A940AD" w14:textId="77777777" w:rsidR="00A462DB" w:rsidRPr="005F7837" w:rsidRDefault="00A462DB" w:rsidP="005F7837">
      <w:pPr>
        <w:pStyle w:val="Bodytext"/>
        <w:rPr>
          <w:rStyle w:val="Figure"/>
        </w:rPr>
      </w:pPr>
      <w:r>
        <w:rPr>
          <w:b/>
          <w:noProof/>
          <w:color w:val="184C8D"/>
          <w:sz w:val="20"/>
          <w:lang w:eastAsia="en-AU"/>
        </w:rPr>
        <w:drawing>
          <wp:inline distT="0" distB="0" distL="0" distR="0" wp14:anchorId="317DEFAA" wp14:editId="47600999">
            <wp:extent cx="2424179" cy="2329732"/>
            <wp:effectExtent l="0" t="0" r="0" b="0"/>
            <wp:docPr id="30" name="Picture 30" descr="Retrocession Program Detail" title="Figure 6.4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trocession Program ÔÇô Level of APRA regulated participation Aug18.jpg"/>
                    <pic:cNvPicPr/>
                  </pic:nvPicPr>
                  <pic:blipFill rotWithShape="1">
                    <a:blip r:embed="rId30"/>
                    <a:srcRect l="8567" t="8174" r="8967" b="7813"/>
                    <a:stretch/>
                  </pic:blipFill>
                  <pic:spPr bwMode="auto">
                    <a:xfrm>
                      <a:off x="0" y="0"/>
                      <a:ext cx="2433089" cy="2338295"/>
                    </a:xfrm>
                    <a:prstGeom prst="rect">
                      <a:avLst/>
                    </a:prstGeom>
                    <a:ln>
                      <a:noFill/>
                    </a:ln>
                    <a:extLst>
                      <a:ext uri="{53640926-AAD7-44D8-BBD7-CCE9431645EC}">
                        <a14:shadowObscured xmlns:a14="http://schemas.microsoft.com/office/drawing/2010/main"/>
                      </a:ext>
                    </a:extLst>
                  </pic:spPr>
                </pic:pic>
              </a:graphicData>
            </a:graphic>
          </wp:inline>
        </w:drawing>
      </w:r>
      <w:r w:rsidR="00C20C0D">
        <w:rPr>
          <w:rStyle w:val="Figure"/>
        </w:rPr>
        <w:tab/>
      </w:r>
      <w:r>
        <w:rPr>
          <w:b/>
          <w:noProof/>
          <w:color w:val="184C8D"/>
          <w:sz w:val="20"/>
          <w:lang w:eastAsia="en-AU"/>
        </w:rPr>
        <w:drawing>
          <wp:inline distT="0" distB="0" distL="0" distR="0" wp14:anchorId="4A5D1F4D" wp14:editId="7186BC50">
            <wp:extent cx="2444334" cy="2377115"/>
            <wp:effectExtent l="0" t="0" r="0" b="4445"/>
            <wp:docPr id="29" name="Picture 29" descr="Retrocession Program Detail" title="Figure 6.4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trocession Program ÔÇô Diversification of risk and encouragement commercial market participants Aug18.jpg"/>
                    <pic:cNvPicPr/>
                  </pic:nvPicPr>
                  <pic:blipFill rotWithShape="1">
                    <a:blip r:embed="rId31"/>
                    <a:srcRect l="6640" t="7070" r="7670" b="6986"/>
                    <a:stretch/>
                  </pic:blipFill>
                  <pic:spPr bwMode="auto">
                    <a:xfrm>
                      <a:off x="0" y="0"/>
                      <a:ext cx="2452916" cy="2385461"/>
                    </a:xfrm>
                    <a:prstGeom prst="rect">
                      <a:avLst/>
                    </a:prstGeom>
                    <a:ln>
                      <a:noFill/>
                    </a:ln>
                    <a:extLst>
                      <a:ext uri="{53640926-AAD7-44D8-BBD7-CCE9431645EC}">
                        <a14:shadowObscured xmlns:a14="http://schemas.microsoft.com/office/drawing/2010/main"/>
                      </a:ext>
                    </a:extLst>
                  </pic:spPr>
                </pic:pic>
              </a:graphicData>
            </a:graphic>
          </wp:inline>
        </w:drawing>
      </w:r>
    </w:p>
    <w:p w14:paraId="5D22E92A" w14:textId="77777777" w:rsidR="00B86DDF" w:rsidRDefault="00B86DDF" w:rsidP="005F7837">
      <w:pPr>
        <w:pStyle w:val="Bodytext"/>
        <w:rPr>
          <w:rFonts w:eastAsiaTheme="majorEastAsia" w:cstheme="majorBidi"/>
          <w:b/>
          <w:bCs/>
          <w:color w:val="1F497D" w:themeColor="text2"/>
        </w:rPr>
      </w:pPr>
      <w:r>
        <w:br w:type="page"/>
      </w:r>
    </w:p>
    <w:p w14:paraId="1F57D291" w14:textId="77777777" w:rsidR="00B86DDF" w:rsidRDefault="00D30251">
      <w:pPr>
        <w:pStyle w:val="Heading4"/>
      </w:pPr>
      <w:bookmarkStart w:id="347" w:name="_Toc363825923"/>
      <w:bookmarkStart w:id="348" w:name="_Toc364074838"/>
      <w:bookmarkStart w:id="349" w:name="_Toc364079246"/>
      <w:bookmarkStart w:id="350" w:name="_Toc364081847"/>
      <w:bookmarkStart w:id="351" w:name="_Toc365106682"/>
      <w:bookmarkStart w:id="352" w:name="_Toc365106842"/>
      <w:bookmarkStart w:id="353" w:name="_Toc365106905"/>
      <w:bookmarkStart w:id="354" w:name="_Toc365707992"/>
      <w:bookmarkStart w:id="355" w:name="_Toc513212712"/>
      <w:bookmarkStart w:id="356" w:name="_Toc513213230"/>
      <w:bookmarkStart w:id="357" w:name="_Toc513214516"/>
      <w:r>
        <w:lastRenderedPageBreak/>
        <w:t>KPI</w:t>
      </w:r>
      <w:r w:rsidR="00E46D3E">
        <w:t xml:space="preserve"> 3</w:t>
      </w:r>
      <w:r w:rsidRPr="3EE44551">
        <w:t>: Compensat</w:t>
      </w:r>
      <w:r w:rsidR="00981A2A">
        <w:t xml:space="preserve">e the </w:t>
      </w:r>
      <w:r w:rsidRPr="3EE44551">
        <w:t>Government</w:t>
      </w:r>
      <w:bookmarkEnd w:id="347"/>
      <w:bookmarkEnd w:id="348"/>
      <w:bookmarkEnd w:id="349"/>
      <w:bookmarkEnd w:id="350"/>
      <w:bookmarkEnd w:id="351"/>
      <w:bookmarkEnd w:id="352"/>
      <w:bookmarkEnd w:id="353"/>
      <w:bookmarkEnd w:id="354"/>
      <w:bookmarkEnd w:id="355"/>
      <w:bookmarkEnd w:id="356"/>
      <w:bookmarkEnd w:id="3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8296"/>
      </w:tblGrid>
      <w:tr w:rsidR="00C20C0D" w14:paraId="3C121D00" w14:textId="77777777" w:rsidTr="0062631A">
        <w:tc>
          <w:tcPr>
            <w:tcW w:w="8296" w:type="dxa"/>
            <w:shd w:val="clear" w:color="auto" w:fill="F2F2F2" w:themeFill="background1" w:themeFillShade="F2"/>
          </w:tcPr>
          <w:p w14:paraId="0735C425" w14:textId="77777777" w:rsidR="00C20C0D" w:rsidRPr="00800D99" w:rsidRDefault="00C20C0D" w:rsidP="00C20C0D">
            <w:pPr>
              <w:pStyle w:val="MeasureLight"/>
              <w:tabs>
                <w:tab w:val="clear" w:pos="1134"/>
                <w:tab w:val="left" w:pos="1418"/>
              </w:tabs>
              <w:spacing w:after="40"/>
              <w:ind w:left="0" w:firstLine="0"/>
              <w:rPr>
                <w:rFonts w:ascii="Calibri" w:hAnsi="Calibri"/>
                <w:b/>
                <w:bCs/>
              </w:rPr>
            </w:pPr>
            <w:r w:rsidRPr="002A2F3B">
              <w:rPr>
                <w:rFonts w:ascii="Calibri" w:hAnsi="Calibri"/>
                <w:b/>
                <w:bCs/>
              </w:rPr>
              <w:t xml:space="preserve">Measure </w:t>
            </w:r>
            <w:r>
              <w:rPr>
                <w:rFonts w:ascii="Calibri" w:hAnsi="Calibri"/>
                <w:b/>
                <w:bCs/>
              </w:rPr>
              <w:t>4</w:t>
            </w:r>
            <w:r w:rsidRPr="002A2F3B">
              <w:rPr>
                <w:rFonts w:ascii="Calibri" w:hAnsi="Calibri"/>
                <w:b/>
                <w:bCs/>
              </w:rPr>
              <w:t>: Payments to Government</w:t>
            </w:r>
          </w:p>
          <w:p w14:paraId="34B26D26" w14:textId="77777777" w:rsidR="00C20C0D" w:rsidRPr="00C20C0D" w:rsidRDefault="00C20C0D" w:rsidP="0062631A">
            <w:pPr>
              <w:pStyle w:val="MeasureLight"/>
              <w:tabs>
                <w:tab w:val="clear" w:pos="1134"/>
                <w:tab w:val="left" w:pos="1418"/>
              </w:tabs>
              <w:spacing w:after="0"/>
              <w:ind w:left="0" w:firstLine="0"/>
              <w:rPr>
                <w:sz w:val="4"/>
                <w:szCs w:val="4"/>
              </w:rPr>
            </w:pPr>
            <w:r>
              <w:t>To meet ARPC’s obligations, the target is to deliver the Government payments in each plan period</w:t>
            </w:r>
          </w:p>
        </w:tc>
      </w:tr>
    </w:tbl>
    <w:p w14:paraId="1DEF6CCF" w14:textId="77777777" w:rsidR="00B86DDF" w:rsidRPr="00E835DB" w:rsidRDefault="00B86DDF" w:rsidP="00B86DDF">
      <w:pPr>
        <w:pStyle w:val="ARPCBodyCopy"/>
        <w:spacing w:before="360"/>
        <w:rPr>
          <w:lang w:val="en-AU"/>
        </w:rPr>
      </w:pPr>
      <w:r w:rsidRPr="3EE44551">
        <w:rPr>
          <w:lang w:val="en-AU"/>
        </w:rPr>
        <w:t xml:space="preserve">ARPC pays the Australian Government a fee for provision of the Commonwealth guarantee along with a capital holding fee for the Australian Government’s ownership of ARPC. These payments are outlined in the </w:t>
      </w:r>
      <w:r w:rsidR="00C15099">
        <w:rPr>
          <w:lang w:val="en-AU"/>
        </w:rPr>
        <w:t xml:space="preserve">Federal </w:t>
      </w:r>
      <w:r w:rsidRPr="3EE44551">
        <w:rPr>
          <w:lang w:val="en-AU"/>
        </w:rPr>
        <w:t xml:space="preserve">Budget and implemented through Ministerial Direction. </w:t>
      </w:r>
    </w:p>
    <w:p w14:paraId="052DF295" w14:textId="77777777" w:rsidR="00B86DDF" w:rsidRPr="00D55778" w:rsidRDefault="00C15099" w:rsidP="00B86DDF">
      <w:pPr>
        <w:pStyle w:val="ARPCBodyCopy"/>
        <w:rPr>
          <w:lang w:val="en-AU"/>
        </w:rPr>
      </w:pPr>
      <w:r w:rsidRPr="00D55778">
        <w:rPr>
          <w:lang w:val="en-AU"/>
        </w:rPr>
        <w:t>F</w:t>
      </w:r>
      <w:r w:rsidR="009E59AA">
        <w:rPr>
          <w:lang w:val="en-AU"/>
        </w:rPr>
        <w:t>rom</w:t>
      </w:r>
      <w:r w:rsidRPr="00D55778">
        <w:rPr>
          <w:lang w:val="en-AU"/>
        </w:rPr>
        <w:t xml:space="preserve"> 2018/19</w:t>
      </w:r>
      <w:r w:rsidR="00B86DDF" w:rsidRPr="00D55778">
        <w:rPr>
          <w:lang w:val="en-AU"/>
        </w:rPr>
        <w:t>, ARPC is scheduled to compensate the government annually through a $55 million fee for the Commonwealth guarantee plus a $35 million capital holding fee.</w:t>
      </w:r>
    </w:p>
    <w:p w14:paraId="4EBFE624" w14:textId="77777777" w:rsidR="00B86DDF" w:rsidRPr="005F7837" w:rsidRDefault="00B86DDF" w:rsidP="005F7837">
      <w:pPr>
        <w:pStyle w:val="Bodytext"/>
        <w:rPr>
          <w:rStyle w:val="Figure"/>
        </w:rPr>
      </w:pPr>
      <w:bookmarkStart w:id="358" w:name="_Toc513212713"/>
      <w:bookmarkStart w:id="359" w:name="_Toc513213231"/>
      <w:bookmarkStart w:id="360" w:name="_Toc513214517"/>
      <w:bookmarkStart w:id="361" w:name="_Toc513559353"/>
      <w:bookmarkStart w:id="362" w:name="_Toc513722808"/>
      <w:bookmarkStart w:id="363" w:name="_Toc513722887"/>
      <w:bookmarkStart w:id="364" w:name="_Toc513724244"/>
      <w:bookmarkStart w:id="365" w:name="_Toc513732553"/>
      <w:r w:rsidRPr="00D55778">
        <w:rPr>
          <w:rStyle w:val="Figure"/>
        </w:rPr>
        <w:t>Figure</w:t>
      </w:r>
      <w:r w:rsidR="0078564A" w:rsidRPr="00D55778">
        <w:rPr>
          <w:rStyle w:val="Figure"/>
        </w:rPr>
        <w:t xml:space="preserve"> </w:t>
      </w:r>
      <w:r w:rsidR="00A45169" w:rsidRPr="00D55778">
        <w:rPr>
          <w:rStyle w:val="Figure"/>
        </w:rPr>
        <w:t>6</w:t>
      </w:r>
      <w:r w:rsidR="0078564A" w:rsidRPr="00D55778">
        <w:rPr>
          <w:rStyle w:val="Figure"/>
        </w:rPr>
        <w:t>.</w:t>
      </w:r>
      <w:r w:rsidR="006367AF">
        <w:rPr>
          <w:rStyle w:val="Figure"/>
        </w:rPr>
        <w:t>5</w:t>
      </w:r>
      <w:r w:rsidRPr="00D55778">
        <w:rPr>
          <w:rStyle w:val="Figure"/>
        </w:rPr>
        <w:t>:</w:t>
      </w:r>
      <w:r w:rsidRPr="005F7837">
        <w:rPr>
          <w:rStyle w:val="Figure"/>
        </w:rPr>
        <w:t xml:space="preserve"> Payments to Government</w:t>
      </w:r>
      <w:bookmarkEnd w:id="358"/>
      <w:bookmarkEnd w:id="359"/>
      <w:bookmarkEnd w:id="360"/>
      <w:bookmarkEnd w:id="361"/>
      <w:bookmarkEnd w:id="362"/>
      <w:bookmarkEnd w:id="363"/>
      <w:bookmarkEnd w:id="364"/>
      <w:bookmarkEnd w:id="365"/>
    </w:p>
    <w:p w14:paraId="32ECCCC5" w14:textId="77777777" w:rsidR="00B86DDF" w:rsidRPr="00E835DB" w:rsidRDefault="00C20C0D" w:rsidP="006B7AF8">
      <w:pPr>
        <w:pStyle w:val="Bodytext"/>
        <w:rPr>
          <w:rFonts w:eastAsia="Calibri"/>
          <w:sz w:val="22"/>
          <w:szCs w:val="22"/>
        </w:rPr>
      </w:pPr>
      <w:r>
        <w:rPr>
          <w:rFonts w:eastAsia="Calibri"/>
          <w:noProof/>
          <w:sz w:val="22"/>
          <w:szCs w:val="22"/>
          <w:lang w:eastAsia="en-AU"/>
        </w:rPr>
        <w:drawing>
          <wp:inline distT="0" distB="0" distL="0" distR="0" wp14:anchorId="58F3461E" wp14:editId="07D5CCE3">
            <wp:extent cx="5366421" cy="3848431"/>
            <wp:effectExtent l="0" t="0" r="5715" b="0"/>
            <wp:docPr id="31" name="Picture 31" descr="Payments to Government" title="Figure 6.5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easure 2 ÔÇô Compensate the Government Aug18.jpg"/>
                    <pic:cNvPicPr/>
                  </pic:nvPicPr>
                  <pic:blipFill rotWithShape="1">
                    <a:blip r:embed="rId32"/>
                    <a:srcRect l="6632" t="5985" r="17673" b="7806"/>
                    <a:stretch/>
                  </pic:blipFill>
                  <pic:spPr bwMode="auto">
                    <a:xfrm>
                      <a:off x="0" y="0"/>
                      <a:ext cx="5377091" cy="3856083"/>
                    </a:xfrm>
                    <a:prstGeom prst="rect">
                      <a:avLst/>
                    </a:prstGeom>
                    <a:ln>
                      <a:noFill/>
                    </a:ln>
                    <a:extLst>
                      <a:ext uri="{53640926-AAD7-44D8-BBD7-CCE9431645EC}">
                        <a14:shadowObscured xmlns:a14="http://schemas.microsoft.com/office/drawing/2010/main"/>
                      </a:ext>
                    </a:extLst>
                  </pic:spPr>
                </pic:pic>
              </a:graphicData>
            </a:graphic>
          </wp:inline>
        </w:drawing>
      </w:r>
    </w:p>
    <w:p w14:paraId="4178654D" w14:textId="77777777" w:rsidR="00B86DDF" w:rsidRDefault="00B86DDF" w:rsidP="005F7837">
      <w:pPr>
        <w:pStyle w:val="Bodytext"/>
        <w:rPr>
          <w:rFonts w:eastAsiaTheme="majorEastAsia" w:cstheme="majorBidi"/>
          <w:color w:val="1F497D" w:themeColor="text2"/>
        </w:rPr>
      </w:pPr>
      <w:r>
        <w:br w:type="page"/>
      </w:r>
    </w:p>
    <w:p w14:paraId="42D31C9B" w14:textId="77777777" w:rsidR="00B86DDF" w:rsidRDefault="00441434">
      <w:pPr>
        <w:pStyle w:val="Heading4"/>
      </w:pPr>
      <w:bookmarkStart w:id="366" w:name="_Toc513212714"/>
      <w:bookmarkStart w:id="367" w:name="_Toc513213232"/>
      <w:bookmarkStart w:id="368" w:name="_Toc513214518"/>
      <w:bookmarkStart w:id="369" w:name="_Toc365707993"/>
      <w:bookmarkStart w:id="370" w:name="_Toc363825924"/>
      <w:bookmarkStart w:id="371" w:name="_Toc364074839"/>
      <w:bookmarkStart w:id="372" w:name="_Toc364079247"/>
      <w:bookmarkStart w:id="373" w:name="_Toc364081848"/>
      <w:bookmarkStart w:id="374" w:name="_Toc365106683"/>
      <w:bookmarkStart w:id="375" w:name="_Toc365106843"/>
      <w:bookmarkStart w:id="376" w:name="_Toc365106906"/>
      <w:r w:rsidRPr="3EE44551">
        <w:lastRenderedPageBreak/>
        <w:t>K</w:t>
      </w:r>
      <w:r w:rsidRPr="006E10C3">
        <w:t>PI</w:t>
      </w:r>
      <w:r w:rsidR="00E46D3E">
        <w:t xml:space="preserve"> 4</w:t>
      </w:r>
      <w:r w:rsidRPr="3EE44551">
        <w:t>: Mai</w:t>
      </w:r>
      <w:r w:rsidR="00E46D3E">
        <w:t>ntain financial s</w:t>
      </w:r>
      <w:r w:rsidR="00CC587E">
        <w:t>ustainability a</w:t>
      </w:r>
      <w:r w:rsidR="00E46D3E">
        <w:t>nd organisational r</w:t>
      </w:r>
      <w:r w:rsidRPr="3EE44551">
        <w:t>esilience</w:t>
      </w:r>
      <w:bookmarkEnd w:id="366"/>
      <w:bookmarkEnd w:id="367"/>
      <w:bookmarkEnd w:id="368"/>
      <w:r w:rsidRPr="3EE44551">
        <w:t xml:space="preserve"> </w:t>
      </w:r>
      <w:bookmarkEnd w:id="369"/>
      <w:bookmarkEnd w:id="370"/>
      <w:bookmarkEnd w:id="371"/>
      <w:bookmarkEnd w:id="372"/>
      <w:bookmarkEnd w:id="373"/>
      <w:bookmarkEnd w:id="374"/>
      <w:bookmarkEnd w:id="375"/>
      <w:bookmarkEnd w:id="3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8296"/>
      </w:tblGrid>
      <w:tr w:rsidR="00C20C0D" w14:paraId="4AFFB8C0" w14:textId="77777777" w:rsidTr="0062631A">
        <w:tc>
          <w:tcPr>
            <w:tcW w:w="8296" w:type="dxa"/>
            <w:shd w:val="clear" w:color="auto" w:fill="F2F2F2" w:themeFill="background1" w:themeFillShade="F2"/>
          </w:tcPr>
          <w:p w14:paraId="37FD33C9" w14:textId="77777777" w:rsidR="00C20C0D" w:rsidRPr="00B66320" w:rsidRDefault="00C20C0D" w:rsidP="00C20C0D">
            <w:pPr>
              <w:pStyle w:val="MeasureLight"/>
              <w:tabs>
                <w:tab w:val="clear" w:pos="1134"/>
                <w:tab w:val="left" w:pos="1418"/>
              </w:tabs>
              <w:spacing w:after="40"/>
              <w:ind w:left="0" w:firstLine="0"/>
              <w:rPr>
                <w:rFonts w:ascii="Calibri" w:hAnsi="Calibri"/>
                <w:b/>
                <w:bCs/>
              </w:rPr>
            </w:pPr>
            <w:r w:rsidRPr="3EE44551">
              <w:rPr>
                <w:rFonts w:ascii="Calibri" w:hAnsi="Calibri"/>
                <w:b/>
                <w:bCs/>
              </w:rPr>
              <w:t xml:space="preserve">Measure </w:t>
            </w:r>
            <w:r>
              <w:rPr>
                <w:rFonts w:ascii="Calibri" w:hAnsi="Calibri"/>
                <w:b/>
                <w:bCs/>
              </w:rPr>
              <w:t>5</w:t>
            </w:r>
            <w:r w:rsidRPr="3EE44551">
              <w:rPr>
                <w:rFonts w:ascii="Calibri" w:hAnsi="Calibri"/>
                <w:b/>
                <w:bCs/>
              </w:rPr>
              <w:t xml:space="preserve">: </w:t>
            </w:r>
            <w:r w:rsidRPr="3EE44551">
              <w:rPr>
                <w:rFonts w:ascii="Calibri" w:eastAsia="Calibri" w:hAnsi="Calibri" w:cs="Times New Roman"/>
                <w:b/>
                <w:bCs/>
                <w:lang w:val="en-AU"/>
              </w:rPr>
              <w:t>Net</w:t>
            </w:r>
            <w:r>
              <w:rPr>
                <w:rFonts w:ascii="Calibri" w:eastAsia="Calibri" w:hAnsi="Calibri" w:cs="Times New Roman"/>
                <w:b/>
                <w:bCs/>
                <w:lang w:val="en-AU"/>
              </w:rPr>
              <w:t xml:space="preserve"> a</w:t>
            </w:r>
            <w:r w:rsidRPr="3EE44551">
              <w:rPr>
                <w:rFonts w:ascii="Calibri" w:eastAsia="Calibri" w:hAnsi="Calibri" w:cs="Times New Roman"/>
                <w:b/>
                <w:bCs/>
                <w:lang w:val="en-AU"/>
              </w:rPr>
              <w:t>ssets against ARPC target and minimum capital</w:t>
            </w:r>
          </w:p>
          <w:p w14:paraId="07B878D2" w14:textId="77777777" w:rsidR="00C20C0D" w:rsidRPr="00C20C0D" w:rsidRDefault="00C20C0D" w:rsidP="00C20C0D">
            <w:pPr>
              <w:pStyle w:val="MeasureLight"/>
              <w:tabs>
                <w:tab w:val="clear" w:pos="1134"/>
              </w:tabs>
              <w:spacing w:after="0"/>
              <w:ind w:left="0" w:firstLine="0"/>
              <w:rPr>
                <w:sz w:val="8"/>
                <w:szCs w:val="8"/>
              </w:rPr>
            </w:pPr>
            <w:r>
              <w:t xml:space="preserve">Maintain </w:t>
            </w:r>
            <w:proofErr w:type="gramStart"/>
            <w:r>
              <w:t>sufficient</w:t>
            </w:r>
            <w:proofErr w:type="gramEnd"/>
            <w:r>
              <w:t xml:space="preserve"> net assets to support targets within ARPC’s Capital Management Policy</w:t>
            </w:r>
          </w:p>
        </w:tc>
      </w:tr>
    </w:tbl>
    <w:p w14:paraId="4F5F7AE3" w14:textId="77777777" w:rsidR="00C20C0D" w:rsidRDefault="00C20C0D"/>
    <w:tbl>
      <w:tblPr>
        <w:tblStyle w:val="TableGrid"/>
        <w:tblW w:w="0" w:type="auto"/>
        <w:tblInd w:w="-5" w:type="dxa"/>
        <w:tblLook w:val="04A0" w:firstRow="1" w:lastRow="0" w:firstColumn="1" w:lastColumn="0" w:noHBand="0" w:noVBand="1"/>
      </w:tblPr>
      <w:tblGrid>
        <w:gridCol w:w="1573"/>
        <w:gridCol w:w="4117"/>
        <w:gridCol w:w="2606"/>
      </w:tblGrid>
      <w:tr w:rsidR="000970AC" w14:paraId="6067B636" w14:textId="77777777" w:rsidTr="00C20C0D">
        <w:trPr>
          <w:trHeight w:val="374"/>
        </w:trPr>
        <w:tc>
          <w:tcPr>
            <w:tcW w:w="1573"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1CFA27D7" w14:textId="77777777" w:rsidR="000970AC" w:rsidRDefault="000970AC">
            <w:pPr>
              <w:pStyle w:val="Bullet"/>
              <w:numPr>
                <w:ilvl w:val="0"/>
                <w:numId w:val="0"/>
              </w:numPr>
              <w:rPr>
                <w:rFonts w:ascii="Calibri Light" w:hAnsi="Calibri Light" w:cs="Calibri Light"/>
                <w:b/>
                <w:iCs/>
                <w:color w:val="FFFFFF" w:themeColor="background1"/>
                <w:sz w:val="21"/>
                <w:szCs w:val="21"/>
              </w:rPr>
            </w:pPr>
            <w:r>
              <w:rPr>
                <w:rFonts w:ascii="Calibri Light" w:hAnsi="Calibri Light" w:cs="Calibri Light"/>
                <w:b/>
                <w:iCs/>
                <w:color w:val="FFFFFF" w:themeColor="background1"/>
                <w:sz w:val="21"/>
                <w:szCs w:val="21"/>
              </w:rPr>
              <w:t>Zone</w:t>
            </w:r>
          </w:p>
        </w:tc>
        <w:tc>
          <w:tcPr>
            <w:tcW w:w="4117"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43D7209F" w14:textId="77777777" w:rsidR="000970AC" w:rsidRDefault="000970AC">
            <w:pPr>
              <w:pStyle w:val="Bullet"/>
              <w:numPr>
                <w:ilvl w:val="0"/>
                <w:numId w:val="0"/>
              </w:numPr>
              <w:rPr>
                <w:rFonts w:ascii="Calibri Light" w:hAnsi="Calibri Light" w:cs="Calibri Light"/>
                <w:b/>
                <w:iCs/>
                <w:color w:val="FFFFFF" w:themeColor="background1"/>
                <w:sz w:val="21"/>
                <w:szCs w:val="21"/>
              </w:rPr>
            </w:pPr>
            <w:r>
              <w:rPr>
                <w:rFonts w:ascii="Calibri Light" w:hAnsi="Calibri Light" w:cs="Calibri Light"/>
                <w:b/>
                <w:iCs/>
                <w:color w:val="FFFFFF" w:themeColor="background1"/>
                <w:sz w:val="21"/>
                <w:szCs w:val="21"/>
              </w:rPr>
              <w:t>Actions Required</w:t>
            </w:r>
          </w:p>
        </w:tc>
        <w:tc>
          <w:tcPr>
            <w:tcW w:w="2606" w:type="dxa"/>
            <w:tcBorders>
              <w:top w:val="single" w:sz="4" w:space="0" w:color="auto"/>
              <w:left w:val="single" w:sz="4" w:space="0" w:color="auto"/>
              <w:bottom w:val="single" w:sz="4" w:space="0" w:color="auto"/>
              <w:right w:val="single" w:sz="4" w:space="0" w:color="auto"/>
            </w:tcBorders>
            <w:shd w:val="clear" w:color="auto" w:fill="1F497D" w:themeFill="text2"/>
            <w:vAlign w:val="center"/>
            <w:hideMark/>
          </w:tcPr>
          <w:p w14:paraId="2F0B5279" w14:textId="77777777" w:rsidR="000970AC" w:rsidRDefault="000970AC">
            <w:pPr>
              <w:pStyle w:val="Bullet"/>
              <w:numPr>
                <w:ilvl w:val="0"/>
                <w:numId w:val="0"/>
              </w:numPr>
              <w:rPr>
                <w:rFonts w:ascii="Calibri Light" w:hAnsi="Calibri Light" w:cs="Calibri Light"/>
                <w:b/>
                <w:iCs/>
                <w:color w:val="FFFFFF" w:themeColor="background1"/>
                <w:sz w:val="21"/>
                <w:szCs w:val="21"/>
              </w:rPr>
            </w:pPr>
            <w:r>
              <w:rPr>
                <w:rFonts w:ascii="Calibri Light" w:hAnsi="Calibri Light" w:cs="Calibri Light"/>
                <w:b/>
                <w:iCs/>
                <w:color w:val="FFFFFF" w:themeColor="background1"/>
                <w:sz w:val="21"/>
                <w:szCs w:val="21"/>
              </w:rPr>
              <w:t>Monetary Boundaries</w:t>
            </w:r>
          </w:p>
        </w:tc>
      </w:tr>
      <w:tr w:rsidR="000970AC" w14:paraId="38CAF931" w14:textId="77777777" w:rsidTr="002F3B7E">
        <w:tc>
          <w:tcPr>
            <w:tcW w:w="1573" w:type="dxa"/>
            <w:tcBorders>
              <w:top w:val="single" w:sz="4" w:space="0" w:color="auto"/>
              <w:left w:val="single" w:sz="4" w:space="0" w:color="auto"/>
              <w:bottom w:val="single" w:sz="4" w:space="0" w:color="auto"/>
              <w:right w:val="single" w:sz="4" w:space="0" w:color="auto"/>
            </w:tcBorders>
            <w:shd w:val="clear" w:color="auto" w:fill="auto"/>
            <w:hideMark/>
          </w:tcPr>
          <w:p w14:paraId="05C60FAF" w14:textId="77777777" w:rsidR="000970AC" w:rsidRDefault="000970AC">
            <w:pPr>
              <w:pStyle w:val="Bullet"/>
              <w:numPr>
                <w:ilvl w:val="0"/>
                <w:numId w:val="0"/>
              </w:numPr>
              <w:rPr>
                <w:rFonts w:ascii="Calibri Light" w:hAnsi="Calibri Light" w:cs="Calibri Light"/>
                <w:b/>
                <w:iCs/>
                <w:sz w:val="21"/>
                <w:szCs w:val="21"/>
              </w:rPr>
            </w:pPr>
            <w:r>
              <w:rPr>
                <w:rFonts w:ascii="Calibri Light" w:hAnsi="Calibri Light" w:cs="Calibri Light"/>
                <w:b/>
                <w:iCs/>
                <w:sz w:val="21"/>
                <w:szCs w:val="21"/>
              </w:rPr>
              <w:t>Red Zone</w:t>
            </w:r>
          </w:p>
        </w:tc>
        <w:tc>
          <w:tcPr>
            <w:tcW w:w="4117" w:type="dxa"/>
            <w:tcBorders>
              <w:top w:val="single" w:sz="4" w:space="0" w:color="auto"/>
              <w:left w:val="single" w:sz="4" w:space="0" w:color="auto"/>
              <w:bottom w:val="single" w:sz="4" w:space="0" w:color="auto"/>
              <w:right w:val="single" w:sz="4" w:space="0" w:color="auto"/>
            </w:tcBorders>
            <w:vAlign w:val="center"/>
            <w:hideMark/>
          </w:tcPr>
          <w:p w14:paraId="1A546CCA" w14:textId="77777777" w:rsidR="000970AC" w:rsidRDefault="00C15099">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 xml:space="preserve">Actions are required </w:t>
            </w:r>
            <w:r w:rsidR="000970AC">
              <w:rPr>
                <w:rFonts w:ascii="Calibri Light" w:hAnsi="Calibri Light" w:cs="Calibri Light"/>
                <w:iCs/>
                <w:sz w:val="21"/>
                <w:szCs w:val="21"/>
              </w:rPr>
              <w:t>to return to the Target Zone or Green Zone.</w:t>
            </w:r>
          </w:p>
          <w:p w14:paraId="33DE4E69" w14:textId="77777777" w:rsidR="000970AC" w:rsidRDefault="000970AC">
            <w:pPr>
              <w:pStyle w:val="Bullet"/>
              <w:numPr>
                <w:ilvl w:val="0"/>
                <w:numId w:val="0"/>
              </w:numPr>
              <w:rPr>
                <w:rFonts w:ascii="Calibri Light" w:hAnsi="Calibri Light" w:cs="Calibri Light"/>
                <w:iCs/>
                <w:sz w:val="21"/>
                <w:szCs w:val="21"/>
              </w:rPr>
            </w:pPr>
          </w:p>
        </w:tc>
        <w:tc>
          <w:tcPr>
            <w:tcW w:w="2606" w:type="dxa"/>
            <w:tcBorders>
              <w:top w:val="single" w:sz="4" w:space="0" w:color="auto"/>
              <w:left w:val="single" w:sz="4" w:space="0" w:color="auto"/>
              <w:bottom w:val="single" w:sz="4" w:space="0" w:color="auto"/>
              <w:right w:val="single" w:sz="4" w:space="0" w:color="auto"/>
            </w:tcBorders>
            <w:hideMark/>
          </w:tcPr>
          <w:p w14:paraId="7272E17E" w14:textId="77777777" w:rsidR="000970AC" w:rsidRDefault="000970AC">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Less than Minimum Capital.</w:t>
            </w:r>
          </w:p>
          <w:p w14:paraId="3C418653" w14:textId="77777777" w:rsidR="000970AC" w:rsidRDefault="000970AC">
            <w:pPr>
              <w:pStyle w:val="Bullet"/>
              <w:numPr>
                <w:ilvl w:val="0"/>
                <w:numId w:val="0"/>
              </w:numPr>
              <w:rPr>
                <w:rFonts w:ascii="Calibri Light" w:hAnsi="Calibri Light" w:cs="Calibri Light"/>
                <w:b/>
                <w:iCs/>
                <w:sz w:val="21"/>
                <w:szCs w:val="21"/>
              </w:rPr>
            </w:pPr>
            <w:r>
              <w:rPr>
                <w:rFonts w:ascii="Calibri Light" w:hAnsi="Calibri Light" w:cs="Calibri Light"/>
                <w:b/>
                <w:iCs/>
                <w:sz w:val="21"/>
                <w:szCs w:val="21"/>
              </w:rPr>
              <w:t>Below $345</w:t>
            </w:r>
            <w:r w:rsidR="00996ABC">
              <w:rPr>
                <w:rFonts w:ascii="Calibri Light" w:hAnsi="Calibri Light" w:cs="Calibri Light"/>
                <w:b/>
                <w:iCs/>
                <w:sz w:val="21"/>
                <w:szCs w:val="21"/>
              </w:rPr>
              <w:t xml:space="preserve"> </w:t>
            </w:r>
            <w:r>
              <w:rPr>
                <w:rFonts w:ascii="Calibri Light" w:hAnsi="Calibri Light" w:cs="Calibri Light"/>
                <w:b/>
                <w:iCs/>
                <w:sz w:val="21"/>
                <w:szCs w:val="21"/>
              </w:rPr>
              <w:t>m</w:t>
            </w:r>
            <w:r w:rsidR="007F31BF">
              <w:rPr>
                <w:rFonts w:ascii="Calibri Light" w:hAnsi="Calibri Light" w:cs="Calibri Light"/>
                <w:b/>
                <w:iCs/>
                <w:sz w:val="21"/>
                <w:szCs w:val="21"/>
              </w:rPr>
              <w:t>illion</w:t>
            </w:r>
          </w:p>
        </w:tc>
      </w:tr>
      <w:tr w:rsidR="000970AC" w14:paraId="0318B604" w14:textId="77777777" w:rsidTr="002F3B7E">
        <w:tc>
          <w:tcPr>
            <w:tcW w:w="1573" w:type="dxa"/>
            <w:tcBorders>
              <w:top w:val="single" w:sz="4" w:space="0" w:color="auto"/>
              <w:left w:val="single" w:sz="4" w:space="0" w:color="auto"/>
              <w:bottom w:val="single" w:sz="4" w:space="0" w:color="auto"/>
              <w:right w:val="single" w:sz="4" w:space="0" w:color="auto"/>
            </w:tcBorders>
            <w:shd w:val="clear" w:color="auto" w:fill="auto"/>
            <w:hideMark/>
          </w:tcPr>
          <w:p w14:paraId="5DC69AE0" w14:textId="77777777" w:rsidR="000970AC" w:rsidRDefault="000970AC" w:rsidP="002F3B7E">
            <w:pPr>
              <w:pStyle w:val="Bullet"/>
              <w:numPr>
                <w:ilvl w:val="0"/>
                <w:numId w:val="0"/>
              </w:numPr>
              <w:spacing w:after="0"/>
              <w:rPr>
                <w:rFonts w:ascii="Calibri Light" w:hAnsi="Calibri Light" w:cs="Calibri Light"/>
                <w:b/>
                <w:iCs/>
                <w:sz w:val="21"/>
                <w:szCs w:val="21"/>
              </w:rPr>
            </w:pPr>
            <w:r>
              <w:rPr>
                <w:rFonts w:ascii="Calibri Light" w:hAnsi="Calibri Light" w:cs="Calibri Light"/>
                <w:b/>
                <w:iCs/>
                <w:sz w:val="21"/>
                <w:szCs w:val="21"/>
              </w:rPr>
              <w:t>Yellow Zone</w:t>
            </w:r>
          </w:p>
          <w:p w14:paraId="2730678E" w14:textId="77777777" w:rsidR="000970AC" w:rsidRPr="002F3B7E" w:rsidRDefault="000970AC" w:rsidP="002F3B7E">
            <w:pPr>
              <w:pStyle w:val="Bullet"/>
              <w:numPr>
                <w:ilvl w:val="0"/>
                <w:numId w:val="0"/>
              </w:numPr>
              <w:spacing w:after="0"/>
              <w:rPr>
                <w:rFonts w:ascii="Calibri Light" w:hAnsi="Calibri Light" w:cs="Calibri Light"/>
                <w:iCs/>
                <w:sz w:val="21"/>
                <w:szCs w:val="21"/>
              </w:rPr>
            </w:pPr>
            <w:r w:rsidRPr="002F3B7E">
              <w:rPr>
                <w:rFonts w:ascii="Calibri Light" w:hAnsi="Calibri Light" w:cs="Calibri Light"/>
                <w:iCs/>
                <w:sz w:val="21"/>
                <w:szCs w:val="21"/>
              </w:rPr>
              <w:t>Watch and Act</w:t>
            </w:r>
          </w:p>
        </w:tc>
        <w:tc>
          <w:tcPr>
            <w:tcW w:w="4117" w:type="dxa"/>
            <w:tcBorders>
              <w:top w:val="single" w:sz="4" w:space="0" w:color="auto"/>
              <w:left w:val="single" w:sz="4" w:space="0" w:color="auto"/>
              <w:bottom w:val="single" w:sz="4" w:space="0" w:color="auto"/>
              <w:right w:val="single" w:sz="4" w:space="0" w:color="auto"/>
            </w:tcBorders>
            <w:vAlign w:val="center"/>
            <w:hideMark/>
          </w:tcPr>
          <w:p w14:paraId="070186CF" w14:textId="77777777" w:rsidR="000970AC" w:rsidRDefault="000970AC">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Actively monitor the capital position and take corrective action where the capital position is forecast to deteriorate further.</w:t>
            </w:r>
          </w:p>
          <w:p w14:paraId="609D6CF8" w14:textId="77777777" w:rsidR="000970AC" w:rsidRDefault="000970AC">
            <w:pPr>
              <w:pStyle w:val="Bullet"/>
              <w:numPr>
                <w:ilvl w:val="0"/>
                <w:numId w:val="0"/>
              </w:numPr>
              <w:rPr>
                <w:rFonts w:ascii="Calibri Light" w:hAnsi="Calibri Light" w:cs="Calibri Light"/>
                <w:iCs/>
                <w:sz w:val="21"/>
                <w:szCs w:val="21"/>
              </w:rPr>
            </w:pPr>
          </w:p>
        </w:tc>
        <w:tc>
          <w:tcPr>
            <w:tcW w:w="2606" w:type="dxa"/>
            <w:tcBorders>
              <w:top w:val="single" w:sz="4" w:space="0" w:color="auto"/>
              <w:left w:val="single" w:sz="4" w:space="0" w:color="auto"/>
              <w:bottom w:val="single" w:sz="4" w:space="0" w:color="auto"/>
              <w:right w:val="single" w:sz="4" w:space="0" w:color="auto"/>
            </w:tcBorders>
            <w:hideMark/>
          </w:tcPr>
          <w:p w14:paraId="126A41A9" w14:textId="77777777" w:rsidR="000970AC" w:rsidRDefault="000970AC">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Less than the bottom of the Target Zone but greater than Minimum Capital</w:t>
            </w:r>
          </w:p>
          <w:p w14:paraId="1165A286" w14:textId="77777777" w:rsidR="000970AC" w:rsidRDefault="000970AC">
            <w:pPr>
              <w:pStyle w:val="Bullet"/>
              <w:numPr>
                <w:ilvl w:val="0"/>
                <w:numId w:val="0"/>
              </w:numPr>
              <w:rPr>
                <w:rFonts w:ascii="Calibri Light" w:hAnsi="Calibri Light" w:cs="Calibri Light"/>
                <w:b/>
                <w:iCs/>
                <w:sz w:val="21"/>
                <w:szCs w:val="21"/>
              </w:rPr>
            </w:pPr>
            <w:r>
              <w:rPr>
                <w:rFonts w:ascii="Calibri Light" w:hAnsi="Calibri Light" w:cs="Calibri Light"/>
                <w:b/>
                <w:iCs/>
                <w:sz w:val="21"/>
                <w:szCs w:val="21"/>
              </w:rPr>
              <w:t>Between $345</w:t>
            </w:r>
            <w:r w:rsidR="00996ABC">
              <w:rPr>
                <w:rFonts w:ascii="Calibri Light" w:hAnsi="Calibri Light" w:cs="Calibri Light"/>
                <w:b/>
                <w:iCs/>
                <w:sz w:val="21"/>
                <w:szCs w:val="21"/>
              </w:rPr>
              <w:t xml:space="preserve"> </w:t>
            </w:r>
            <w:r>
              <w:rPr>
                <w:rFonts w:ascii="Calibri Light" w:hAnsi="Calibri Light" w:cs="Calibri Light"/>
                <w:b/>
                <w:iCs/>
                <w:sz w:val="21"/>
                <w:szCs w:val="21"/>
              </w:rPr>
              <w:t>m</w:t>
            </w:r>
            <w:r w:rsidR="007F31BF">
              <w:rPr>
                <w:rFonts w:ascii="Calibri Light" w:hAnsi="Calibri Light" w:cs="Calibri Light"/>
                <w:b/>
                <w:iCs/>
                <w:sz w:val="21"/>
                <w:szCs w:val="21"/>
              </w:rPr>
              <w:t>illion</w:t>
            </w:r>
            <w:r>
              <w:rPr>
                <w:rFonts w:ascii="Calibri Light" w:hAnsi="Calibri Light" w:cs="Calibri Light"/>
                <w:b/>
                <w:iCs/>
                <w:sz w:val="21"/>
                <w:szCs w:val="21"/>
              </w:rPr>
              <w:t xml:space="preserve"> and $400</w:t>
            </w:r>
            <w:r w:rsidR="00996ABC">
              <w:rPr>
                <w:rFonts w:ascii="Calibri Light" w:hAnsi="Calibri Light" w:cs="Calibri Light"/>
                <w:b/>
                <w:iCs/>
                <w:sz w:val="21"/>
                <w:szCs w:val="21"/>
              </w:rPr>
              <w:t xml:space="preserve"> </w:t>
            </w:r>
            <w:r>
              <w:rPr>
                <w:rFonts w:ascii="Calibri Light" w:hAnsi="Calibri Light" w:cs="Calibri Light"/>
                <w:b/>
                <w:iCs/>
                <w:sz w:val="21"/>
                <w:szCs w:val="21"/>
              </w:rPr>
              <w:t>m</w:t>
            </w:r>
            <w:r w:rsidR="007F31BF">
              <w:rPr>
                <w:rFonts w:ascii="Calibri Light" w:hAnsi="Calibri Light" w:cs="Calibri Light"/>
                <w:b/>
                <w:iCs/>
                <w:sz w:val="21"/>
                <w:szCs w:val="21"/>
              </w:rPr>
              <w:t>illion</w:t>
            </w:r>
          </w:p>
        </w:tc>
      </w:tr>
      <w:tr w:rsidR="000970AC" w14:paraId="78C27554" w14:textId="77777777" w:rsidTr="002F3B7E">
        <w:tc>
          <w:tcPr>
            <w:tcW w:w="1573" w:type="dxa"/>
            <w:tcBorders>
              <w:top w:val="single" w:sz="4" w:space="0" w:color="auto"/>
              <w:left w:val="single" w:sz="4" w:space="0" w:color="auto"/>
              <w:bottom w:val="single" w:sz="4" w:space="0" w:color="auto"/>
              <w:right w:val="single" w:sz="4" w:space="0" w:color="auto"/>
            </w:tcBorders>
            <w:shd w:val="clear" w:color="auto" w:fill="auto"/>
            <w:hideMark/>
          </w:tcPr>
          <w:p w14:paraId="660B67EE" w14:textId="77777777" w:rsidR="000970AC" w:rsidRDefault="000970AC" w:rsidP="002F3B7E">
            <w:pPr>
              <w:pStyle w:val="Bullet"/>
              <w:numPr>
                <w:ilvl w:val="0"/>
                <w:numId w:val="0"/>
              </w:numPr>
              <w:spacing w:after="0"/>
              <w:rPr>
                <w:rFonts w:ascii="Calibri Light" w:hAnsi="Calibri Light" w:cs="Calibri Light"/>
                <w:b/>
                <w:iCs/>
                <w:sz w:val="21"/>
                <w:szCs w:val="21"/>
              </w:rPr>
            </w:pPr>
            <w:r>
              <w:rPr>
                <w:rFonts w:ascii="Calibri Light" w:hAnsi="Calibri Light" w:cs="Calibri Light"/>
                <w:b/>
                <w:iCs/>
                <w:sz w:val="21"/>
                <w:szCs w:val="21"/>
              </w:rPr>
              <w:t>Green Zone</w:t>
            </w:r>
          </w:p>
          <w:p w14:paraId="5E9F034E" w14:textId="77777777" w:rsidR="000970AC" w:rsidRPr="002F3B7E" w:rsidRDefault="000970AC" w:rsidP="002F3B7E">
            <w:pPr>
              <w:pStyle w:val="Bullet"/>
              <w:numPr>
                <w:ilvl w:val="0"/>
                <w:numId w:val="0"/>
              </w:numPr>
              <w:spacing w:after="0"/>
              <w:rPr>
                <w:rFonts w:ascii="Calibri Light" w:hAnsi="Calibri Light" w:cs="Calibri Light"/>
                <w:iCs/>
                <w:sz w:val="21"/>
                <w:szCs w:val="21"/>
              </w:rPr>
            </w:pPr>
            <w:r w:rsidRPr="002F3B7E">
              <w:rPr>
                <w:rFonts w:ascii="Calibri Light" w:hAnsi="Calibri Light" w:cs="Calibri Light"/>
                <w:iCs/>
                <w:sz w:val="21"/>
                <w:szCs w:val="21"/>
              </w:rPr>
              <w:t>Target Zone</w:t>
            </w:r>
          </w:p>
        </w:tc>
        <w:tc>
          <w:tcPr>
            <w:tcW w:w="4117" w:type="dxa"/>
            <w:tcBorders>
              <w:top w:val="single" w:sz="4" w:space="0" w:color="auto"/>
              <w:left w:val="single" w:sz="4" w:space="0" w:color="auto"/>
              <w:bottom w:val="single" w:sz="4" w:space="0" w:color="auto"/>
              <w:right w:val="single" w:sz="4" w:space="0" w:color="auto"/>
            </w:tcBorders>
            <w:vAlign w:val="center"/>
            <w:hideMark/>
          </w:tcPr>
          <w:p w14:paraId="154EC31F" w14:textId="77777777" w:rsidR="000970AC" w:rsidRDefault="000970AC">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Monitor and report capital position</w:t>
            </w:r>
            <w:r w:rsidR="00C15099">
              <w:rPr>
                <w:rFonts w:ascii="Calibri Light" w:hAnsi="Calibri Light" w:cs="Calibri Light"/>
                <w:iCs/>
                <w:sz w:val="21"/>
                <w:szCs w:val="21"/>
              </w:rPr>
              <w:t xml:space="preserve"> as b</w:t>
            </w:r>
            <w:r>
              <w:rPr>
                <w:rFonts w:ascii="Calibri Light" w:hAnsi="Calibri Light" w:cs="Calibri Light"/>
                <w:iCs/>
                <w:sz w:val="21"/>
                <w:szCs w:val="21"/>
              </w:rPr>
              <w:t>usiness as usual.</w:t>
            </w:r>
          </w:p>
        </w:tc>
        <w:tc>
          <w:tcPr>
            <w:tcW w:w="2606" w:type="dxa"/>
            <w:tcBorders>
              <w:top w:val="single" w:sz="4" w:space="0" w:color="auto"/>
              <w:left w:val="single" w:sz="4" w:space="0" w:color="auto"/>
              <w:bottom w:val="single" w:sz="4" w:space="0" w:color="auto"/>
              <w:right w:val="single" w:sz="4" w:space="0" w:color="auto"/>
            </w:tcBorders>
            <w:hideMark/>
          </w:tcPr>
          <w:p w14:paraId="09A03270" w14:textId="77777777" w:rsidR="000970AC" w:rsidRDefault="000970AC">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Approximately +/- 10% of Target Capital</w:t>
            </w:r>
          </w:p>
          <w:p w14:paraId="61BBB2AD" w14:textId="77777777" w:rsidR="000970AC" w:rsidRDefault="000970AC">
            <w:pPr>
              <w:pStyle w:val="Bullet"/>
              <w:numPr>
                <w:ilvl w:val="0"/>
                <w:numId w:val="0"/>
              </w:numPr>
              <w:rPr>
                <w:rFonts w:ascii="Calibri Light" w:hAnsi="Calibri Light" w:cs="Calibri Light"/>
                <w:b/>
                <w:iCs/>
                <w:sz w:val="21"/>
                <w:szCs w:val="21"/>
              </w:rPr>
            </w:pPr>
            <w:r>
              <w:rPr>
                <w:rFonts w:ascii="Calibri Light" w:hAnsi="Calibri Light" w:cs="Calibri Light"/>
                <w:b/>
                <w:iCs/>
                <w:sz w:val="21"/>
                <w:szCs w:val="21"/>
              </w:rPr>
              <w:t>Between $400</w:t>
            </w:r>
            <w:r w:rsidR="00996ABC">
              <w:rPr>
                <w:rFonts w:ascii="Calibri Light" w:hAnsi="Calibri Light" w:cs="Calibri Light"/>
                <w:b/>
                <w:iCs/>
                <w:sz w:val="21"/>
                <w:szCs w:val="21"/>
              </w:rPr>
              <w:t xml:space="preserve"> </w:t>
            </w:r>
            <w:r>
              <w:rPr>
                <w:rFonts w:ascii="Calibri Light" w:hAnsi="Calibri Light" w:cs="Calibri Light"/>
                <w:b/>
                <w:iCs/>
                <w:sz w:val="21"/>
                <w:szCs w:val="21"/>
              </w:rPr>
              <w:t>m</w:t>
            </w:r>
            <w:r w:rsidR="007F31BF">
              <w:rPr>
                <w:rFonts w:ascii="Calibri Light" w:hAnsi="Calibri Light" w:cs="Calibri Light"/>
                <w:b/>
                <w:iCs/>
                <w:sz w:val="21"/>
                <w:szCs w:val="21"/>
              </w:rPr>
              <w:t xml:space="preserve">illion </w:t>
            </w:r>
            <w:r>
              <w:rPr>
                <w:rFonts w:ascii="Calibri Light" w:hAnsi="Calibri Light" w:cs="Calibri Light"/>
                <w:b/>
                <w:iCs/>
                <w:sz w:val="21"/>
                <w:szCs w:val="21"/>
              </w:rPr>
              <w:t>and $490</w:t>
            </w:r>
            <w:r w:rsidR="00996ABC">
              <w:rPr>
                <w:rFonts w:ascii="Calibri Light" w:hAnsi="Calibri Light" w:cs="Calibri Light"/>
                <w:b/>
                <w:iCs/>
                <w:sz w:val="21"/>
                <w:szCs w:val="21"/>
              </w:rPr>
              <w:t xml:space="preserve"> </w:t>
            </w:r>
            <w:r>
              <w:rPr>
                <w:rFonts w:ascii="Calibri Light" w:hAnsi="Calibri Light" w:cs="Calibri Light"/>
                <w:b/>
                <w:iCs/>
                <w:sz w:val="21"/>
                <w:szCs w:val="21"/>
              </w:rPr>
              <w:t>m</w:t>
            </w:r>
            <w:r w:rsidR="007F31BF">
              <w:rPr>
                <w:rFonts w:ascii="Calibri Light" w:hAnsi="Calibri Light" w:cs="Calibri Light"/>
                <w:b/>
                <w:iCs/>
                <w:sz w:val="21"/>
                <w:szCs w:val="21"/>
              </w:rPr>
              <w:t>illion</w:t>
            </w:r>
          </w:p>
        </w:tc>
      </w:tr>
      <w:tr w:rsidR="000970AC" w14:paraId="696266F0" w14:textId="77777777" w:rsidTr="002F3B7E">
        <w:tc>
          <w:tcPr>
            <w:tcW w:w="1573" w:type="dxa"/>
            <w:tcBorders>
              <w:top w:val="single" w:sz="4" w:space="0" w:color="auto"/>
              <w:left w:val="single" w:sz="4" w:space="0" w:color="auto"/>
              <w:bottom w:val="single" w:sz="4" w:space="0" w:color="auto"/>
              <w:right w:val="single" w:sz="4" w:space="0" w:color="auto"/>
            </w:tcBorders>
            <w:shd w:val="clear" w:color="auto" w:fill="auto"/>
            <w:hideMark/>
          </w:tcPr>
          <w:p w14:paraId="571C1997" w14:textId="77777777" w:rsidR="000970AC" w:rsidRDefault="000970AC">
            <w:pPr>
              <w:pStyle w:val="Bullet"/>
              <w:numPr>
                <w:ilvl w:val="0"/>
                <w:numId w:val="0"/>
              </w:numPr>
              <w:rPr>
                <w:rFonts w:ascii="Calibri Light" w:hAnsi="Calibri Light" w:cs="Calibri Light"/>
                <w:b/>
                <w:iCs/>
                <w:sz w:val="21"/>
                <w:szCs w:val="21"/>
              </w:rPr>
            </w:pPr>
            <w:r>
              <w:rPr>
                <w:rFonts w:ascii="Calibri Light" w:hAnsi="Calibri Light" w:cs="Calibri Light"/>
                <w:b/>
                <w:iCs/>
                <w:sz w:val="21"/>
                <w:szCs w:val="21"/>
              </w:rPr>
              <w:t>Blue Zone</w:t>
            </w:r>
          </w:p>
        </w:tc>
        <w:tc>
          <w:tcPr>
            <w:tcW w:w="4117" w:type="dxa"/>
            <w:tcBorders>
              <w:top w:val="single" w:sz="4" w:space="0" w:color="auto"/>
              <w:left w:val="single" w:sz="4" w:space="0" w:color="auto"/>
              <w:bottom w:val="single" w:sz="4" w:space="0" w:color="auto"/>
              <w:right w:val="single" w:sz="4" w:space="0" w:color="auto"/>
            </w:tcBorders>
            <w:vAlign w:val="center"/>
            <w:hideMark/>
          </w:tcPr>
          <w:p w14:paraId="6C0E9C48" w14:textId="77777777" w:rsidR="000970AC" w:rsidRDefault="000970AC">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 xml:space="preserve">Capital Accumulation Zone, where ARPC </w:t>
            </w:r>
            <w:r w:rsidR="00F93BB1">
              <w:rPr>
                <w:rFonts w:ascii="Calibri Light" w:hAnsi="Calibri Light" w:cs="Calibri Light"/>
                <w:iCs/>
                <w:sz w:val="21"/>
                <w:szCs w:val="21"/>
              </w:rPr>
              <w:t>can</w:t>
            </w:r>
            <w:r>
              <w:rPr>
                <w:rFonts w:ascii="Calibri Light" w:hAnsi="Calibri Light" w:cs="Calibri Light"/>
                <w:iCs/>
                <w:sz w:val="21"/>
                <w:szCs w:val="21"/>
              </w:rPr>
              <w:t xml:space="preserve"> accumulate additional capital to provide additional resilience following a DTI.</w:t>
            </w:r>
          </w:p>
          <w:p w14:paraId="078E5B9D" w14:textId="77777777" w:rsidR="000970AC" w:rsidRDefault="000970AC">
            <w:pPr>
              <w:pStyle w:val="Bullet"/>
              <w:numPr>
                <w:ilvl w:val="0"/>
                <w:numId w:val="0"/>
              </w:numPr>
              <w:rPr>
                <w:rFonts w:ascii="Calibri Light" w:hAnsi="Calibri Light" w:cs="Calibri Light"/>
                <w:iCs/>
                <w:sz w:val="21"/>
                <w:szCs w:val="21"/>
              </w:rPr>
            </w:pPr>
          </w:p>
        </w:tc>
        <w:tc>
          <w:tcPr>
            <w:tcW w:w="2606" w:type="dxa"/>
            <w:tcBorders>
              <w:top w:val="single" w:sz="4" w:space="0" w:color="auto"/>
              <w:left w:val="single" w:sz="4" w:space="0" w:color="auto"/>
              <w:bottom w:val="single" w:sz="4" w:space="0" w:color="auto"/>
              <w:right w:val="single" w:sz="4" w:space="0" w:color="auto"/>
            </w:tcBorders>
            <w:hideMark/>
          </w:tcPr>
          <w:p w14:paraId="7B5D4769" w14:textId="77777777" w:rsidR="000970AC" w:rsidRDefault="000970AC">
            <w:pPr>
              <w:pStyle w:val="Bullet"/>
              <w:numPr>
                <w:ilvl w:val="0"/>
                <w:numId w:val="0"/>
              </w:numPr>
              <w:rPr>
                <w:rFonts w:ascii="Calibri Light" w:hAnsi="Calibri Light" w:cs="Calibri Light"/>
                <w:iCs/>
                <w:sz w:val="21"/>
                <w:szCs w:val="21"/>
              </w:rPr>
            </w:pPr>
            <w:r>
              <w:rPr>
                <w:rFonts w:ascii="Calibri Light" w:hAnsi="Calibri Light" w:cs="Calibri Light"/>
                <w:iCs/>
                <w:sz w:val="21"/>
                <w:szCs w:val="21"/>
              </w:rPr>
              <w:t>Greater than the top of the Target Zone and up to Maximum Capital.</w:t>
            </w:r>
          </w:p>
          <w:p w14:paraId="44897BE2" w14:textId="77777777" w:rsidR="000970AC" w:rsidRDefault="000970AC">
            <w:pPr>
              <w:pStyle w:val="Bullet"/>
              <w:numPr>
                <w:ilvl w:val="0"/>
                <w:numId w:val="0"/>
              </w:numPr>
              <w:rPr>
                <w:rFonts w:ascii="Calibri Light" w:hAnsi="Calibri Light" w:cs="Calibri Light"/>
                <w:b/>
                <w:iCs/>
                <w:sz w:val="21"/>
                <w:szCs w:val="21"/>
              </w:rPr>
            </w:pPr>
            <w:r>
              <w:rPr>
                <w:rFonts w:ascii="Calibri Light" w:hAnsi="Calibri Light" w:cs="Calibri Light"/>
                <w:b/>
                <w:iCs/>
                <w:sz w:val="21"/>
                <w:szCs w:val="21"/>
              </w:rPr>
              <w:t>Between $490</w:t>
            </w:r>
            <w:r w:rsidR="00996ABC">
              <w:rPr>
                <w:rFonts w:ascii="Calibri Light" w:hAnsi="Calibri Light" w:cs="Calibri Light"/>
                <w:b/>
                <w:iCs/>
                <w:sz w:val="21"/>
                <w:szCs w:val="21"/>
              </w:rPr>
              <w:t xml:space="preserve"> </w:t>
            </w:r>
            <w:r>
              <w:rPr>
                <w:rFonts w:ascii="Calibri Light" w:hAnsi="Calibri Light" w:cs="Calibri Light"/>
                <w:b/>
                <w:iCs/>
                <w:sz w:val="21"/>
                <w:szCs w:val="21"/>
              </w:rPr>
              <w:t>m</w:t>
            </w:r>
            <w:r w:rsidR="007F31BF">
              <w:rPr>
                <w:rFonts w:ascii="Calibri Light" w:hAnsi="Calibri Light" w:cs="Calibri Light"/>
                <w:b/>
                <w:iCs/>
                <w:sz w:val="21"/>
                <w:szCs w:val="21"/>
              </w:rPr>
              <w:t>illion</w:t>
            </w:r>
            <w:r>
              <w:rPr>
                <w:rFonts w:ascii="Calibri Light" w:hAnsi="Calibri Light" w:cs="Calibri Light"/>
                <w:b/>
                <w:iCs/>
                <w:sz w:val="21"/>
                <w:szCs w:val="21"/>
              </w:rPr>
              <w:t xml:space="preserve"> and $780</w:t>
            </w:r>
            <w:r w:rsidR="00996ABC">
              <w:rPr>
                <w:rFonts w:ascii="Calibri Light" w:hAnsi="Calibri Light" w:cs="Calibri Light"/>
                <w:b/>
                <w:iCs/>
                <w:sz w:val="21"/>
                <w:szCs w:val="21"/>
              </w:rPr>
              <w:t xml:space="preserve"> </w:t>
            </w:r>
            <w:r>
              <w:rPr>
                <w:rFonts w:ascii="Calibri Light" w:hAnsi="Calibri Light" w:cs="Calibri Light"/>
                <w:b/>
                <w:iCs/>
                <w:sz w:val="21"/>
                <w:szCs w:val="21"/>
              </w:rPr>
              <w:t>m</w:t>
            </w:r>
            <w:r w:rsidR="007F31BF">
              <w:rPr>
                <w:rFonts w:ascii="Calibri Light" w:hAnsi="Calibri Light" w:cs="Calibri Light"/>
                <w:b/>
                <w:iCs/>
                <w:sz w:val="21"/>
                <w:szCs w:val="21"/>
              </w:rPr>
              <w:t>illion</w:t>
            </w:r>
          </w:p>
        </w:tc>
      </w:tr>
    </w:tbl>
    <w:p w14:paraId="7F13FD38" w14:textId="77777777" w:rsidR="00B86DDF" w:rsidRPr="00C62E73" w:rsidRDefault="00B86DDF" w:rsidP="00B86DDF">
      <w:pPr>
        <w:pStyle w:val="ARPCBodyCopy"/>
        <w:rPr>
          <w:lang w:val="en-AU"/>
        </w:rPr>
      </w:pPr>
    </w:p>
    <w:p w14:paraId="3CE64D19" w14:textId="77777777" w:rsidR="0087596D" w:rsidRDefault="0087596D">
      <w:pPr>
        <w:spacing w:after="0"/>
        <w:rPr>
          <w:rStyle w:val="Figure"/>
          <w:rFonts w:cs="Times New Roman"/>
          <w:szCs w:val="21"/>
        </w:rPr>
      </w:pPr>
      <w:bookmarkStart w:id="377" w:name="_Toc513212715"/>
      <w:bookmarkStart w:id="378" w:name="_Toc513213233"/>
      <w:bookmarkStart w:id="379" w:name="_Toc513214519"/>
      <w:bookmarkStart w:id="380" w:name="_Toc513559354"/>
      <w:bookmarkStart w:id="381" w:name="_Toc513722809"/>
      <w:bookmarkStart w:id="382" w:name="_Toc513722888"/>
      <w:bookmarkStart w:id="383" w:name="_Toc513724245"/>
      <w:bookmarkStart w:id="384" w:name="_Toc513732554"/>
      <w:r>
        <w:rPr>
          <w:rStyle w:val="Figure"/>
        </w:rPr>
        <w:br w:type="page"/>
      </w:r>
    </w:p>
    <w:p w14:paraId="6A288661" w14:textId="77777777" w:rsidR="00B86DDF" w:rsidRPr="00D21015" w:rsidRDefault="00B86DDF" w:rsidP="00D21015">
      <w:pPr>
        <w:pStyle w:val="Bodytext"/>
        <w:rPr>
          <w:b/>
          <w:color w:val="184C8D"/>
          <w:sz w:val="20"/>
        </w:rPr>
      </w:pPr>
      <w:r w:rsidRPr="00DF44C4">
        <w:rPr>
          <w:rStyle w:val="Figure"/>
        </w:rPr>
        <w:lastRenderedPageBreak/>
        <w:t>Figure</w:t>
      </w:r>
      <w:r w:rsidR="00E5312C" w:rsidRPr="005F7837">
        <w:rPr>
          <w:rStyle w:val="Figure"/>
        </w:rPr>
        <w:t xml:space="preserve"> </w:t>
      </w:r>
      <w:r w:rsidR="000970AC">
        <w:rPr>
          <w:rStyle w:val="Figure"/>
        </w:rPr>
        <w:t>6</w:t>
      </w:r>
      <w:r w:rsidR="00E5312C" w:rsidRPr="005F7837">
        <w:rPr>
          <w:rStyle w:val="Figure"/>
        </w:rPr>
        <w:t>.</w:t>
      </w:r>
      <w:r w:rsidR="006367AF">
        <w:rPr>
          <w:rStyle w:val="Figure"/>
        </w:rPr>
        <w:t>6</w:t>
      </w:r>
      <w:r w:rsidRPr="005F7837">
        <w:rPr>
          <w:rStyle w:val="Figure"/>
        </w:rPr>
        <w:t>: Projected Net Assets</w:t>
      </w:r>
      <w:bookmarkEnd w:id="377"/>
      <w:bookmarkEnd w:id="378"/>
      <w:bookmarkEnd w:id="379"/>
      <w:bookmarkEnd w:id="380"/>
      <w:bookmarkEnd w:id="381"/>
      <w:bookmarkEnd w:id="382"/>
      <w:bookmarkEnd w:id="383"/>
      <w:bookmarkEnd w:id="384"/>
    </w:p>
    <w:p w14:paraId="2FB83053" w14:textId="77777777" w:rsidR="00B86DDF" w:rsidRDefault="00C20C0D" w:rsidP="00C20C0D">
      <w:pPr>
        <w:pStyle w:val="ARPCTableHeader"/>
        <w:spacing w:after="240"/>
      </w:pPr>
      <w:r>
        <w:rPr>
          <w:noProof/>
          <w:lang w:val="en-AU" w:eastAsia="en-AU"/>
        </w:rPr>
        <w:drawing>
          <wp:inline distT="0" distB="0" distL="0" distR="0" wp14:anchorId="3021C7BB" wp14:editId="1AF80B4E">
            <wp:extent cx="5388602" cy="3641697"/>
            <wp:effectExtent l="0" t="0" r="3175" b="0"/>
            <wp:docPr id="379979712" name="Picture 379979712" descr="Projected Net Assets" title="Figure 6.6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79712" name="Projected Net Assets Aug18.jpg"/>
                    <pic:cNvPicPr/>
                  </pic:nvPicPr>
                  <pic:blipFill rotWithShape="1">
                    <a:blip r:embed="rId33"/>
                    <a:srcRect l="6784" t="6992" r="5320" b="6917"/>
                    <a:stretch/>
                  </pic:blipFill>
                  <pic:spPr bwMode="auto">
                    <a:xfrm>
                      <a:off x="0" y="0"/>
                      <a:ext cx="5398097" cy="364811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CellMar>
          <w:top w:w="113" w:type="dxa"/>
          <w:bottom w:w="113" w:type="dxa"/>
        </w:tblCellMar>
        <w:tblLook w:val="04A0" w:firstRow="1" w:lastRow="0" w:firstColumn="1" w:lastColumn="0" w:noHBand="0" w:noVBand="1"/>
      </w:tblPr>
      <w:tblGrid>
        <w:gridCol w:w="8296"/>
      </w:tblGrid>
      <w:tr w:rsidR="00C20C0D" w14:paraId="74E7D58B" w14:textId="77777777" w:rsidTr="0062631A">
        <w:tc>
          <w:tcPr>
            <w:tcW w:w="8296" w:type="dxa"/>
            <w:shd w:val="clear" w:color="auto" w:fill="F2F2F2" w:themeFill="background1" w:themeFillShade="F2"/>
          </w:tcPr>
          <w:p w14:paraId="4822A802" w14:textId="77777777" w:rsidR="00C20C0D" w:rsidRPr="00B66320" w:rsidRDefault="00C20C0D" w:rsidP="00C20C0D">
            <w:pPr>
              <w:pStyle w:val="MeasureLight"/>
              <w:tabs>
                <w:tab w:val="clear" w:pos="1134"/>
                <w:tab w:val="left" w:pos="1418"/>
              </w:tabs>
              <w:spacing w:after="40"/>
              <w:ind w:left="0" w:firstLine="0"/>
              <w:rPr>
                <w:rFonts w:ascii="Calibri" w:hAnsi="Calibri"/>
                <w:b/>
                <w:bCs/>
              </w:rPr>
            </w:pPr>
            <w:r>
              <w:rPr>
                <w:rFonts w:ascii="Calibri" w:hAnsi="Calibri"/>
                <w:b/>
                <w:bCs/>
              </w:rPr>
              <w:t>Measure 6</w:t>
            </w:r>
            <w:r w:rsidRPr="3EE44551">
              <w:rPr>
                <w:rFonts w:ascii="Calibri" w:hAnsi="Calibri"/>
                <w:b/>
                <w:bCs/>
              </w:rPr>
              <w:t xml:space="preserve">: </w:t>
            </w:r>
            <w:r>
              <w:rPr>
                <w:rFonts w:ascii="Calibri" w:eastAsia="Calibri" w:hAnsi="Calibri" w:cs="Times New Roman"/>
                <w:b/>
                <w:bCs/>
                <w:lang w:val="en-AU"/>
              </w:rPr>
              <w:t xml:space="preserve">Development activities </w:t>
            </w:r>
          </w:p>
          <w:p w14:paraId="749435FB" w14:textId="77777777" w:rsidR="00C20C0D" w:rsidRPr="00C20C0D" w:rsidRDefault="00C20C0D" w:rsidP="0062631A">
            <w:pPr>
              <w:pStyle w:val="MeasureLight"/>
              <w:tabs>
                <w:tab w:val="clear" w:pos="1134"/>
              </w:tabs>
              <w:spacing w:after="0"/>
              <w:ind w:left="0" w:firstLine="0"/>
              <w:rPr>
                <w:sz w:val="8"/>
                <w:szCs w:val="8"/>
              </w:rPr>
            </w:pPr>
            <w:r>
              <w:t xml:space="preserve">Complete and/or progress major projects according to plan to advance ARPC’s strategic priorities </w:t>
            </w:r>
          </w:p>
        </w:tc>
      </w:tr>
    </w:tbl>
    <w:p w14:paraId="7CF81CF8" w14:textId="77777777" w:rsidR="001E6E6C" w:rsidRPr="00973155" w:rsidRDefault="007F31BF">
      <w:pPr>
        <w:pStyle w:val="Bodytext"/>
        <w:rPr>
          <w:b/>
        </w:rPr>
      </w:pPr>
      <w:r>
        <w:rPr>
          <w:b/>
        </w:rPr>
        <w:t>Major</w:t>
      </w:r>
      <w:r w:rsidR="00170E24" w:rsidRPr="00973155">
        <w:rPr>
          <w:b/>
        </w:rPr>
        <w:t xml:space="preserve"> Projects</w:t>
      </w:r>
      <w:r w:rsidR="00B11242" w:rsidRPr="00973155">
        <w:rPr>
          <w:b/>
        </w:rPr>
        <w:t xml:space="preserve"> </w:t>
      </w:r>
      <w:r w:rsidR="00762AF1">
        <w:rPr>
          <w:b/>
        </w:rPr>
        <w:t>for</w:t>
      </w:r>
      <w:r w:rsidR="00B11242" w:rsidRPr="00973155">
        <w:rPr>
          <w:b/>
        </w:rPr>
        <w:t xml:space="preserve"> the 2018-21 period </w:t>
      </w:r>
    </w:p>
    <w:p w14:paraId="557C5073" w14:textId="77777777" w:rsidR="00170E24" w:rsidRDefault="00170E24" w:rsidP="00170E24">
      <w:pPr>
        <w:pStyle w:val="BulletL1"/>
      </w:pPr>
      <w:r w:rsidRPr="00973155">
        <w:rPr>
          <w:b/>
        </w:rPr>
        <w:t>Geospatial modelling</w:t>
      </w:r>
      <w:r w:rsidR="00B11242">
        <w:t xml:space="preserve"> – </w:t>
      </w:r>
      <w:r w:rsidR="0043579E">
        <w:t xml:space="preserve">working with </w:t>
      </w:r>
      <w:r w:rsidR="001B1AC0">
        <w:t xml:space="preserve">specialist providers to enhance </w:t>
      </w:r>
      <w:r w:rsidR="00DE59FC">
        <w:t>ARPC’s</w:t>
      </w:r>
      <w:r w:rsidR="001B1AC0">
        <w:t xml:space="preserve"> modelling capability</w:t>
      </w:r>
      <w:r w:rsidR="00B11242">
        <w:t>.</w:t>
      </w:r>
    </w:p>
    <w:p w14:paraId="1D273D72" w14:textId="77777777" w:rsidR="00170E24" w:rsidRDefault="00170E24" w:rsidP="00973155">
      <w:pPr>
        <w:pStyle w:val="BulletL1"/>
      </w:pPr>
      <w:r w:rsidRPr="00973155">
        <w:rPr>
          <w:b/>
        </w:rPr>
        <w:t>Cyber terrorism research project</w:t>
      </w:r>
      <w:r w:rsidR="00B11242">
        <w:t xml:space="preserve"> </w:t>
      </w:r>
      <w:r w:rsidR="0043579E">
        <w:t>–</w:t>
      </w:r>
      <w:r w:rsidR="00B11242">
        <w:t xml:space="preserve"> </w:t>
      </w:r>
      <w:r w:rsidR="0043579E">
        <w:t xml:space="preserve">working with industry and universities to </w:t>
      </w:r>
      <w:r w:rsidR="00DE59FC">
        <w:t>explore issues associated with cyber terrorism</w:t>
      </w:r>
      <w:r w:rsidR="00253CB0">
        <w:t>.</w:t>
      </w:r>
      <w:r w:rsidR="0043579E">
        <w:t xml:space="preserve"> </w:t>
      </w:r>
    </w:p>
    <w:p w14:paraId="056D06F3" w14:textId="77777777" w:rsidR="00170E24" w:rsidRDefault="009D0AEF" w:rsidP="00973155">
      <w:pPr>
        <w:pStyle w:val="BulletL1"/>
      </w:pPr>
      <w:r>
        <w:rPr>
          <w:b/>
        </w:rPr>
        <w:t xml:space="preserve">Ownership model </w:t>
      </w:r>
      <w:r w:rsidR="00803CE0">
        <w:rPr>
          <w:b/>
        </w:rPr>
        <w:t>f</w:t>
      </w:r>
      <w:r w:rsidR="00170E24" w:rsidRPr="00973155">
        <w:rPr>
          <w:b/>
        </w:rPr>
        <w:t>easibility study</w:t>
      </w:r>
      <w:r w:rsidR="001B1AC0">
        <w:t xml:space="preserve"> - working with Government, industry and community to assess </w:t>
      </w:r>
      <w:r w:rsidR="00DD62D9">
        <w:t>future structures for ARPC.</w:t>
      </w:r>
    </w:p>
    <w:p w14:paraId="42B04529" w14:textId="77777777" w:rsidR="00170E24" w:rsidRDefault="00170E24" w:rsidP="00973155">
      <w:pPr>
        <w:pStyle w:val="BulletL1"/>
      </w:pPr>
      <w:r w:rsidRPr="00973155">
        <w:rPr>
          <w:b/>
        </w:rPr>
        <w:t>2018 Triennial Review</w:t>
      </w:r>
      <w:r>
        <w:t xml:space="preserve"> </w:t>
      </w:r>
      <w:r w:rsidR="00DD62D9">
        <w:t>– working with Government and industry to assess the scheme and comply with obligations under the TI Act.</w:t>
      </w:r>
    </w:p>
    <w:p w14:paraId="7F5A082A" w14:textId="77777777" w:rsidR="000701BA" w:rsidRPr="000701BA" w:rsidRDefault="00170E24" w:rsidP="00973155">
      <w:pPr>
        <w:pStyle w:val="BulletL1"/>
      </w:pPr>
      <w:r w:rsidRPr="00973155">
        <w:rPr>
          <w:b/>
        </w:rPr>
        <w:t>Risk mitigation project through Standards Australia</w:t>
      </w:r>
      <w:r>
        <w:t xml:space="preserve"> </w:t>
      </w:r>
      <w:r w:rsidR="00DD62D9">
        <w:t xml:space="preserve">- working with industry and community to </w:t>
      </w:r>
      <w:r w:rsidR="00B2535E">
        <w:t>develop</w:t>
      </w:r>
      <w:r w:rsidR="00DD62D9">
        <w:t xml:space="preserve"> </w:t>
      </w:r>
      <w:r w:rsidR="00B2535E">
        <w:t xml:space="preserve">a handbook to assist physical protection </w:t>
      </w:r>
      <w:r w:rsidR="007A5378">
        <w:t>decisions made by businesses to reduce exposure to terrorism losses.</w:t>
      </w:r>
    </w:p>
    <w:sectPr w:rsidR="000701BA" w:rsidRPr="000701BA" w:rsidSect="00A5069F">
      <w:footerReference w:type="default" r:id="rId34"/>
      <w:headerReference w:type="first" r:id="rId35"/>
      <w:footerReference w:type="first" r:id="rId36"/>
      <w:pgSz w:w="11900" w:h="16840"/>
      <w:pgMar w:top="2722" w:right="1797" w:bottom="1440" w:left="1797" w:header="709" w:footer="709"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88FE78" w14:textId="77777777" w:rsidR="005B41CA" w:rsidRDefault="005B41CA" w:rsidP="000A4B3D">
      <w:r>
        <w:separator/>
      </w:r>
    </w:p>
  </w:endnote>
  <w:endnote w:type="continuationSeparator" w:id="0">
    <w:p w14:paraId="36C60AE7" w14:textId="77777777" w:rsidR="005B41CA" w:rsidRDefault="005B41CA" w:rsidP="000A4B3D">
      <w:r>
        <w:continuationSeparator/>
      </w:r>
    </w:p>
  </w:endnote>
  <w:endnote w:type="continuationNotice" w:id="1">
    <w:p w14:paraId="324E4C08" w14:textId="77777777" w:rsidR="005B41CA" w:rsidRDefault="005B41CA">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Zapf Dingbats">
    <w:altName w:val="Wingdings"/>
    <w:charset w:val="02"/>
    <w:family w:val="auto"/>
    <w:pitch w:val="variable"/>
    <w:sig w:usb0="00000000" w:usb1="10000000" w:usb2="00000000" w:usb3="00000000" w:csb0="80000000" w:csb1="00000000"/>
  </w:font>
  <w:font w:name="HelveticaNeue LT 45 Lt">
    <w:altName w:val="Cordia New"/>
    <w:charset w:val="00"/>
    <w:family w:val="swiss"/>
    <w:pitch w:val="variable"/>
    <w:sig w:usb0="8000002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MS Mincho">
    <w:altName w:val="MS Mincho"/>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Segoe UI"/>
    <w:charset w:val="00"/>
    <w:family w:val="swiss"/>
    <w:pitch w:val="variable"/>
    <w:sig w:usb0="E1000AEF" w:usb1="5000A1FF" w:usb2="00000000" w:usb3="00000000" w:csb0="000001BF" w:csb1="00000000"/>
  </w:font>
  <w:font w:name="Calibri-Light">
    <w:altName w:val="Calibri Light"/>
    <w:panose1 w:val="00000000000000000000"/>
    <w:charset w:val="4D"/>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ller Light">
    <w:altName w:val="Cambria Math"/>
    <w:charset w:val="00"/>
    <w:family w:val="auto"/>
    <w:pitch w:val="variable"/>
    <w:sig w:usb0="A00000AF" w:usb1="5000205B" w:usb2="00000000" w:usb3="00000000" w:csb0="00000093" w:csb1="00000000"/>
  </w:font>
  <w:font w:name="Calibri-Bold">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68952D" w14:textId="77777777" w:rsidR="00993593" w:rsidRDefault="00993593" w:rsidP="00B9693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60DB9">
      <w:rPr>
        <w:rStyle w:val="PageNumber"/>
        <w:noProof/>
      </w:rPr>
      <w:t>8</w:t>
    </w:r>
    <w:r>
      <w:rPr>
        <w:rStyle w:val="PageNumber"/>
      </w:rPr>
      <w:fldChar w:fldCharType="end"/>
    </w:r>
  </w:p>
  <w:p w14:paraId="322FBE6F" w14:textId="77777777" w:rsidR="00993593" w:rsidRDefault="00993593" w:rsidP="00B9693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1657E9" w14:textId="77777777" w:rsidR="00993593" w:rsidRPr="00D356E5" w:rsidRDefault="00993593" w:rsidP="00D356E5">
    <w:pPr>
      <w:pStyle w:val="ARPCFooter"/>
      <w:spacing w:line="240" w:lineRule="auto"/>
      <w:ind w:right="84"/>
      <w:rPr>
        <w:spacing w:val="9"/>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BF8F2" w14:textId="77777777" w:rsidR="00993593" w:rsidRDefault="00993593">
    <w:pPr>
      <w:pStyle w:val="Footer"/>
    </w:pPr>
    <w:r>
      <w:rPr>
        <w:noProof/>
        <w:lang w:eastAsia="en-AU"/>
      </w:rPr>
      <mc:AlternateContent>
        <mc:Choice Requires="wps">
          <w:drawing>
            <wp:anchor distT="0" distB="0" distL="114300" distR="114300" simplePos="0" relativeHeight="251658241" behindDoc="0" locked="0" layoutInCell="1" allowOverlap="1" wp14:anchorId="42F76090" wp14:editId="27404430">
              <wp:simplePos x="0" y="0"/>
              <wp:positionH relativeFrom="column">
                <wp:posOffset>2931007</wp:posOffset>
              </wp:positionH>
              <wp:positionV relativeFrom="paragraph">
                <wp:posOffset>11430</wp:posOffset>
              </wp:positionV>
              <wp:extent cx="2687099" cy="343814"/>
              <wp:effectExtent l="0" t="0" r="0" b="0"/>
              <wp:wrapNone/>
              <wp:docPr id="5" name="Text Box 5"/>
              <wp:cNvGraphicFramePr/>
              <a:graphic xmlns:a="http://schemas.openxmlformats.org/drawingml/2006/main">
                <a:graphicData uri="http://schemas.microsoft.com/office/word/2010/wordprocessingShape">
                  <wps:wsp>
                    <wps:cNvSpPr txBox="1"/>
                    <wps:spPr>
                      <a:xfrm>
                        <a:off x="0" y="0"/>
                        <a:ext cx="2687099" cy="343814"/>
                      </a:xfrm>
                      <a:prstGeom prst="rect">
                        <a:avLst/>
                      </a:prstGeom>
                      <a:noFill/>
                      <a:ln w="6350">
                        <a:noFill/>
                      </a:ln>
                    </wps:spPr>
                    <wps:txbx>
                      <w:txbxContent>
                        <w:p w14:paraId="0DAA4A5D" w14:textId="77777777" w:rsidR="00993593" w:rsidRPr="005F7837" w:rsidRDefault="00993593" w:rsidP="005F7837">
                          <w:pPr>
                            <w:jc w:val="center"/>
                            <w:rPr>
                              <w:rFonts w:asciiTheme="majorHAnsi" w:hAnsiTheme="majorHAnsi" w:cstheme="majorHAnsi"/>
                              <w:color w:val="002548" w:themeColor="accent2" w:themeShade="80"/>
                              <w:sz w:val="28"/>
                            </w:rPr>
                          </w:pPr>
                          <w:r w:rsidRPr="005F7837">
                            <w:rPr>
                              <w:rFonts w:asciiTheme="majorHAnsi" w:hAnsiTheme="majorHAnsi" w:cstheme="majorHAnsi"/>
                              <w:color w:val="002548" w:themeColor="accent2" w:themeShade="80"/>
                              <w:sz w:val="28"/>
                            </w:rPr>
                            <w:t>2018–2022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F76090" id="_x0000_t202" coordsize="21600,21600" o:spt="202" path="m,l,21600r21600,l21600,xe">
              <v:stroke joinstyle="miter"/>
              <v:path gradientshapeok="t" o:connecttype="rect"/>
            </v:shapetype>
            <v:shape id="Text Box 5" o:spid="_x0000_s1026" type="#_x0000_t202" style="position:absolute;margin-left:230.8pt;margin-top:.9pt;width:211.6pt;height:27.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gHeLgIAAFEEAAAOAAAAZHJzL2Uyb0RvYy54bWysVE1v2zAMvQ/YfxB0X+x8NjHiFFmLDAOK&#10;tkAy9KzIUmxAFjVJiZ39+lGykwbdTsMuCkXSpPjeY5b3ba3ISVhXgc7pcJBSIjSHotKHnP7Ybb7M&#10;KXGe6YIp0CKnZ+Ho/erzp2VjMjGCElQhLMEi2mWNyWnpvcmSxPFS1MwNwAiNQQm2Zh6v9pAUljVY&#10;vVbJKE1nSQO2MBa4cA69j12QrmJ9KQX3L1I64YnKKb7Nx9PGcx/OZLVk2cEyU1a8fwb7h1fUrNLY&#10;9FrqkXlGjrb6o1RdcQsOpB9wqBOQsuIizoDTDNMP02xLZkScBcFx5gqT+39l+fPp1ZKqyOmUEs1q&#10;pGgnWk++QkumAZ3GuAyTtgbTfItuZPnid+gMQ7fS1uEXxyEYR5zPV2xDMY7O0Wx+ly4WlHCMjSfj&#10;+XASyiTvXxvr/DcBNQlGTi1yFyFlpyfnu9RLSmimYVMpFflTmjQ5nY2nafzgGsHiSmOPMEP31mD5&#10;dt/2g+2hOONcFjpdOMM3FTZ/Ys6/MotCwFFQ3P4FD6kAm0BvUVKC/fU3f8hHfjBKSYPCyqn7eWRW&#10;UKK+a2RuMZxMghLjZTK9G+HF3kb2txF9rB8AtTvENTI8miHfq4spLdRvuAPr0BVDTHPsnVN/MR98&#10;J3fcIS7W65iE2jPMP+mt4aF0gDNAu2vfmDU9/h6Ze4aLBFn2gYYutyNiffQgq8hRALhDtccddRtZ&#10;7ncsLMbtPWa9/xOsfgMAAP//AwBQSwMEFAAGAAgAAAAhAOm78L3gAAAACAEAAA8AAABkcnMvZG93&#10;bnJldi54bWxMj0FLw0AQhe+C/2GZgje7aWlCjNmUEiiC6KG1F2+T7DYJzc7G7LaN/nrHk73N43u8&#10;eS9fT7YXFzP6zpGCxTwCYah2uqNGweFj+5iC8AFJY+/IKPg2HtbF/V2OmXZX2pnLPjSCQ8hnqKAN&#10;Ycik9HVrLPq5GwwxO7rRYmA5NlKPeOVw28tlFCXSYkf8ocXBlK2pT/uzVfBabt9xVy1t+tOXL2/H&#10;zfB1+IyVephNm2cQwUzh3wx/9bk6FNypcmfSXvQKVskiYSsDXsA8TVd8VAri+AlkkcvbAcUvAAAA&#10;//8DAFBLAQItABQABgAIAAAAIQC2gziS/gAAAOEBAAATAAAAAAAAAAAAAAAAAAAAAABbQ29udGVu&#10;dF9UeXBlc10ueG1sUEsBAi0AFAAGAAgAAAAhADj9If/WAAAAlAEAAAsAAAAAAAAAAAAAAAAALwEA&#10;AF9yZWxzLy5yZWxzUEsBAi0AFAAGAAgAAAAhAClCAd4uAgAAUQQAAA4AAAAAAAAAAAAAAAAALgIA&#10;AGRycy9lMm9Eb2MueG1sUEsBAi0AFAAGAAgAAAAhAOm78L3gAAAACAEAAA8AAAAAAAAAAAAAAAAA&#10;iAQAAGRycy9kb3ducmV2LnhtbFBLBQYAAAAABAAEAPMAAACVBQAAAAA=&#10;" filled="f" stroked="f" strokeweight=".5pt">
              <v:textbox>
                <w:txbxContent>
                  <w:p w14:paraId="0DAA4A5D" w14:textId="77777777" w:rsidR="00993593" w:rsidRPr="005F7837" w:rsidRDefault="00993593" w:rsidP="005F7837">
                    <w:pPr>
                      <w:jc w:val="center"/>
                      <w:rPr>
                        <w:rFonts w:asciiTheme="majorHAnsi" w:hAnsiTheme="majorHAnsi" w:cstheme="majorHAnsi"/>
                        <w:color w:val="002548" w:themeColor="accent2" w:themeShade="80"/>
                        <w:sz w:val="28"/>
                      </w:rPr>
                    </w:pPr>
                    <w:r w:rsidRPr="005F7837">
                      <w:rPr>
                        <w:rFonts w:asciiTheme="majorHAnsi" w:hAnsiTheme="majorHAnsi" w:cstheme="majorHAnsi"/>
                        <w:color w:val="002548" w:themeColor="accent2" w:themeShade="80"/>
                        <w:sz w:val="28"/>
                      </w:rPr>
                      <w:t>2018–2022</w:t>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CBD470" w14:textId="77777777" w:rsidR="00993593" w:rsidRPr="00D356E5" w:rsidRDefault="00993593" w:rsidP="00D356E5">
    <w:pPr>
      <w:pStyle w:val="ARPCFooter"/>
      <w:spacing w:line="240" w:lineRule="auto"/>
      <w:ind w:right="84"/>
      <w:rPr>
        <w:spacing w:val="9"/>
      </w:rPr>
    </w:pPr>
    <w:r w:rsidRPr="462E11D4">
      <w:rPr>
        <w:rStyle w:val="ARPCFooterBold"/>
        <w:kern w:val="16"/>
      </w:rPr>
      <w:t>ARPC</w:t>
    </w:r>
    <w:r w:rsidRPr="462E11D4">
      <w:rPr>
        <w:rFonts w:ascii="Calibri-Bold" w:hAnsi="Calibri-Bold" w:cs="Calibri-Bold"/>
        <w:b/>
        <w:bCs/>
        <w:kern w:val="16"/>
      </w:rPr>
      <w:t xml:space="preserve"> </w:t>
    </w:r>
    <w:r>
      <w:rPr>
        <w:rFonts w:ascii="Calibri Light" w:hAnsi="Calibri Light"/>
        <w:color w:val="3E3F40"/>
        <w:kern w:val="16"/>
      </w:rPr>
      <w:t>CORPORATE PLAN 2018-2022</w:t>
    </w:r>
    <w:r w:rsidRPr="74C49A56">
      <w:t xml:space="preserve"> </w:t>
    </w:r>
    <w:r w:rsidR="00F60DB9" w:rsidRPr="0074072A">
      <w:rPr>
        <w:b/>
        <w:noProof/>
        <w:color w:val="D9541E" w:themeColor="accent4"/>
        <w:spacing w:val="9"/>
        <w:sz w:val="30"/>
        <w:szCs w:val="40"/>
        <w:lang w:val="en-AU" w:eastAsia="en-AU"/>
      </w:rPr>
      <w:t>|</w:t>
    </w:r>
    <w:r>
      <w:t xml:space="preserve"> </w:t>
    </w:r>
    <w:r>
      <w:fldChar w:fldCharType="begin"/>
    </w:r>
    <w:r>
      <w:instrText xml:space="preserve"> PAGE   \* MERGEFORMAT </w:instrText>
    </w:r>
    <w:r>
      <w:fldChar w:fldCharType="separate"/>
    </w:r>
    <w:r>
      <w:rPr>
        <w:noProof/>
      </w:rPr>
      <w:t>8</w:t>
    </w:r>
    <w:r>
      <w:rPr>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7E055D" w14:textId="77777777" w:rsidR="00993593" w:rsidRDefault="0099359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F2DC5C" w14:textId="77777777" w:rsidR="005B41CA" w:rsidRDefault="005B41CA" w:rsidP="000A4B3D">
      <w:r>
        <w:separator/>
      </w:r>
    </w:p>
  </w:footnote>
  <w:footnote w:type="continuationSeparator" w:id="0">
    <w:p w14:paraId="46C61260" w14:textId="77777777" w:rsidR="005B41CA" w:rsidRDefault="005B41CA" w:rsidP="000A4B3D">
      <w:r>
        <w:continuationSeparator/>
      </w:r>
    </w:p>
  </w:footnote>
  <w:footnote w:type="continuationNotice" w:id="1">
    <w:p w14:paraId="38813AA3" w14:textId="77777777" w:rsidR="005B41CA" w:rsidRDefault="005B41CA">
      <w:pPr>
        <w:spacing w:after="0"/>
      </w:pPr>
    </w:p>
  </w:footnote>
  <w:footnote w:id="2">
    <w:p w14:paraId="6784B10A" w14:textId="77777777" w:rsidR="00993593" w:rsidRPr="00772EF5" w:rsidRDefault="00993593" w:rsidP="005F7837">
      <w:pPr>
        <w:pStyle w:val="Footnote"/>
        <w:rPr>
          <w:sz w:val="22"/>
          <w:szCs w:val="22"/>
        </w:rPr>
      </w:pPr>
      <w:r w:rsidRPr="00C450EA">
        <w:rPr>
          <w:rStyle w:val="FootnoteReference"/>
        </w:rPr>
        <w:footnoteRef/>
      </w:r>
      <w:r w:rsidRPr="462E11D4">
        <w:t xml:space="preserve"> </w:t>
      </w:r>
      <w:r w:rsidRPr="0074072A">
        <w:rPr>
          <w:color w:val="000000" w:themeColor="text1"/>
        </w:rPr>
        <w:t>The Appendix to the Triennial Review report was prepared by an external consulting firm, Pottinger</w:t>
      </w:r>
    </w:p>
  </w:footnote>
  <w:footnote w:id="3">
    <w:p w14:paraId="6888B109" w14:textId="77777777" w:rsidR="00993593" w:rsidRPr="0074072A" w:rsidRDefault="00993593" w:rsidP="00110191">
      <w:pPr>
        <w:pStyle w:val="Footnote"/>
        <w:rPr>
          <w:color w:val="000000" w:themeColor="text1"/>
          <w:lang w:val="en-AU"/>
        </w:rPr>
      </w:pPr>
      <w:r w:rsidRPr="0074072A">
        <w:rPr>
          <w:rStyle w:val="FootnoteReference"/>
          <w:rFonts w:ascii="Calibri" w:hAnsi="Calibri"/>
          <w:color w:val="000000" w:themeColor="text1"/>
          <w:sz w:val="20"/>
          <w:lang w:val="en-AU"/>
        </w:rPr>
        <w:footnoteRef/>
      </w:r>
      <w:r w:rsidRPr="0074072A">
        <w:rPr>
          <w:color w:val="000000" w:themeColor="text1"/>
          <w:lang w:val="en-AU"/>
        </w:rPr>
        <w:t xml:space="preserve"> Crosses multiple KPIs. Refer to Section 6, </w:t>
      </w:r>
      <w:r w:rsidRPr="0074072A">
        <w:rPr>
          <w:i/>
          <w:iCs/>
          <w:color w:val="000000" w:themeColor="text1"/>
          <w:lang w:val="en-AU"/>
        </w:rPr>
        <w:t>Figure 6.1</w:t>
      </w:r>
      <w:r w:rsidRPr="0074072A">
        <w:rPr>
          <w:color w:val="000000" w:themeColor="text1"/>
          <w:lang w:val="en-AU"/>
        </w:rPr>
        <w:t xml:space="preserve"> for KPI areas and details.</w:t>
      </w:r>
    </w:p>
    <w:p w14:paraId="5EFC8F64" w14:textId="77777777" w:rsidR="00993593" w:rsidRDefault="00993593" w:rsidP="00110191">
      <w:pPr>
        <w:pStyle w:val="FootnoteText"/>
      </w:pPr>
    </w:p>
  </w:footnote>
  <w:footnote w:id="4">
    <w:p w14:paraId="1A15E977" w14:textId="77777777" w:rsidR="00993593" w:rsidRDefault="00993593" w:rsidP="00B86DDF">
      <w:pPr>
        <w:pStyle w:val="Footnote"/>
      </w:pPr>
      <w:r w:rsidRPr="0074072A">
        <w:rPr>
          <w:rStyle w:val="FootnoteReference"/>
          <w:color w:val="000000" w:themeColor="text1"/>
        </w:rPr>
        <w:footnoteRef/>
      </w:r>
      <w:r w:rsidRPr="0074072A">
        <w:rPr>
          <w:color w:val="000000" w:themeColor="text1"/>
        </w:rPr>
        <w:t xml:space="preserve"> Purchase must also be value for money.</w:t>
      </w:r>
    </w:p>
    <w:p w14:paraId="55AA308D" w14:textId="77777777" w:rsidR="00993593" w:rsidRPr="00460531" w:rsidRDefault="00993593" w:rsidP="00B86DDF">
      <w:pPr>
        <w:pStyle w:val="Footnote"/>
      </w:pPr>
    </w:p>
  </w:footnote>
  <w:footnote w:id="5">
    <w:p w14:paraId="7D158582" w14:textId="77777777" w:rsidR="00993593" w:rsidRDefault="00993593">
      <w:pPr>
        <w:pStyle w:val="FootnoteText"/>
      </w:pPr>
      <w:r>
        <w:rPr>
          <w:rStyle w:val="FootnoteReference"/>
        </w:rPr>
        <w:footnoteRef/>
      </w:r>
      <w:r>
        <w:t xml:space="preserve"> Representative of the tranche of cover commencing in that calendar year.</w:t>
      </w:r>
    </w:p>
  </w:footnote>
  <w:footnote w:id="6">
    <w:p w14:paraId="3DAFC8D5" w14:textId="77777777" w:rsidR="00993593" w:rsidRPr="00E835DB" w:rsidRDefault="00993593" w:rsidP="00B86DDF">
      <w:pPr>
        <w:pStyle w:val="Footnote"/>
        <w:rPr>
          <w:lang w:val="en-AU"/>
        </w:rPr>
      </w:pPr>
      <w:r w:rsidRPr="0074072A">
        <w:rPr>
          <w:rStyle w:val="FootnoteReference"/>
          <w:color w:val="000000" w:themeColor="text1"/>
        </w:rPr>
        <w:footnoteRef/>
      </w:r>
      <w:r w:rsidRPr="0074072A">
        <w:rPr>
          <w:color w:val="000000" w:themeColor="text1"/>
        </w:rPr>
        <w:t xml:space="preserve"> Reinsurers who hold a Standard &amp; Poor's long-term rating of A- (or equivalent) or greater.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CA9296" w14:textId="77777777" w:rsidR="00993593" w:rsidRDefault="00993593">
    <w:pPr>
      <w:pStyle w:val="Header"/>
    </w:pPr>
    <w:r>
      <w:rPr>
        <w:noProof/>
        <w:lang w:eastAsia="en-AU"/>
      </w:rPr>
      <w:drawing>
        <wp:anchor distT="0" distB="0" distL="114300" distR="114300" simplePos="0" relativeHeight="251658240" behindDoc="1" locked="0" layoutInCell="1" allowOverlap="1" wp14:anchorId="75E08569" wp14:editId="416B0DA6">
          <wp:simplePos x="0" y="0"/>
          <wp:positionH relativeFrom="column">
            <wp:posOffset>-1143000</wp:posOffset>
          </wp:positionH>
          <wp:positionV relativeFrom="paragraph">
            <wp:posOffset>-449581</wp:posOffset>
          </wp:positionV>
          <wp:extent cx="7555865" cy="10421007"/>
          <wp:effectExtent l="0" t="0" r="6985" b="0"/>
          <wp:wrapNone/>
          <wp:docPr id="4" name="Picture 4" descr="ARPC Corporate Plan 2018-2022 Cover Page" title="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corporate plan.jpg"/>
                  <pic:cNvPicPr/>
                </pic:nvPicPr>
                <pic:blipFill rotWithShape="1">
                  <a:blip r:embed="rId1">
                    <a:extLst>
                      <a:ext uri="{28A0092B-C50C-407E-A947-70E740481C1C}">
                        <a14:useLocalDpi xmlns:a14="http://schemas.microsoft.com/office/drawing/2010/main" val="0"/>
                      </a:ext>
                    </a:extLst>
                  </a:blip>
                  <a:srcRect t="-1" b="-3718"/>
                  <a:stretch/>
                </pic:blipFill>
                <pic:spPr bwMode="auto">
                  <a:xfrm>
                    <a:off x="0" y="0"/>
                    <a:ext cx="7556856" cy="104223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DF3CC4" w14:textId="77777777" w:rsidR="00993593" w:rsidRDefault="0099359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F94026"/>
    <w:multiLevelType w:val="hybridMultilevel"/>
    <w:tmpl w:val="45C4E5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91D5035"/>
    <w:multiLevelType w:val="hybridMultilevel"/>
    <w:tmpl w:val="B44E82F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B296600"/>
    <w:multiLevelType w:val="hybridMultilevel"/>
    <w:tmpl w:val="D2A497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9115DAE"/>
    <w:multiLevelType w:val="hybridMultilevel"/>
    <w:tmpl w:val="244CC14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9CE39A5"/>
    <w:multiLevelType w:val="hybridMultilevel"/>
    <w:tmpl w:val="B44E82F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FE374C0"/>
    <w:multiLevelType w:val="multilevel"/>
    <w:tmpl w:val="B90A4B40"/>
    <w:lvl w:ilvl="0">
      <w:start w:val="1"/>
      <w:numFmt w:val="bullet"/>
      <w:pStyle w:val="BulletL2"/>
      <w:lvlText w:val="—"/>
      <w:lvlJc w:val="left"/>
      <w:pPr>
        <w:ind w:left="680" w:hanging="396"/>
      </w:pPr>
      <w:rPr>
        <w:rFonts w:ascii="Arial" w:hAnsi="Arial" w:hint="default"/>
        <w:color w:val="000000" w:themeColor="text1"/>
        <w:sz w:val="20"/>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4139"/>
        </w:tabs>
        <w:ind w:left="4139" w:hanging="360"/>
      </w:pPr>
      <w:rPr>
        <w:rFonts w:ascii="Courier New" w:hAnsi="Courier New" w:hint="default"/>
      </w:rPr>
    </w:lvl>
    <w:lvl w:ilvl="2">
      <w:start w:val="1"/>
      <w:numFmt w:val="bullet"/>
      <w:lvlText w:val=""/>
      <w:lvlJc w:val="left"/>
      <w:pPr>
        <w:tabs>
          <w:tab w:val="num" w:pos="4859"/>
        </w:tabs>
        <w:ind w:left="4859" w:hanging="360"/>
      </w:pPr>
      <w:rPr>
        <w:rFonts w:ascii="Wingdings" w:hAnsi="Wingdings" w:hint="default"/>
      </w:rPr>
    </w:lvl>
    <w:lvl w:ilvl="3">
      <w:start w:val="1"/>
      <w:numFmt w:val="bullet"/>
      <w:lvlText w:val=""/>
      <w:lvlJc w:val="left"/>
      <w:pPr>
        <w:tabs>
          <w:tab w:val="num" w:pos="5579"/>
        </w:tabs>
        <w:ind w:left="5579" w:hanging="360"/>
      </w:pPr>
      <w:rPr>
        <w:rFonts w:ascii="Symbol" w:hAnsi="Symbol" w:hint="default"/>
      </w:rPr>
    </w:lvl>
    <w:lvl w:ilvl="4">
      <w:start w:val="1"/>
      <w:numFmt w:val="bullet"/>
      <w:lvlText w:val="o"/>
      <w:lvlJc w:val="left"/>
      <w:pPr>
        <w:tabs>
          <w:tab w:val="num" w:pos="6299"/>
        </w:tabs>
        <w:ind w:left="6299" w:hanging="360"/>
      </w:pPr>
      <w:rPr>
        <w:rFonts w:ascii="Courier New" w:hAnsi="Courier New" w:hint="default"/>
      </w:rPr>
    </w:lvl>
    <w:lvl w:ilvl="5">
      <w:start w:val="1"/>
      <w:numFmt w:val="bullet"/>
      <w:lvlText w:val=""/>
      <w:lvlJc w:val="left"/>
      <w:pPr>
        <w:tabs>
          <w:tab w:val="num" w:pos="7019"/>
        </w:tabs>
        <w:ind w:left="7019" w:hanging="360"/>
      </w:pPr>
      <w:rPr>
        <w:rFonts w:ascii="Wingdings" w:hAnsi="Wingdings" w:hint="default"/>
      </w:rPr>
    </w:lvl>
    <w:lvl w:ilvl="6">
      <w:start w:val="1"/>
      <w:numFmt w:val="bullet"/>
      <w:lvlText w:val=""/>
      <w:lvlJc w:val="left"/>
      <w:pPr>
        <w:tabs>
          <w:tab w:val="num" w:pos="7739"/>
        </w:tabs>
        <w:ind w:left="7739" w:hanging="360"/>
      </w:pPr>
      <w:rPr>
        <w:rFonts w:ascii="Symbol" w:hAnsi="Symbol" w:hint="default"/>
      </w:rPr>
    </w:lvl>
    <w:lvl w:ilvl="7">
      <w:start w:val="1"/>
      <w:numFmt w:val="bullet"/>
      <w:lvlText w:val="o"/>
      <w:lvlJc w:val="left"/>
      <w:pPr>
        <w:tabs>
          <w:tab w:val="num" w:pos="8459"/>
        </w:tabs>
        <w:ind w:left="8459" w:hanging="360"/>
      </w:pPr>
      <w:rPr>
        <w:rFonts w:ascii="Courier New" w:hAnsi="Courier New" w:hint="default"/>
      </w:rPr>
    </w:lvl>
    <w:lvl w:ilvl="8">
      <w:start w:val="1"/>
      <w:numFmt w:val="bullet"/>
      <w:lvlText w:val=""/>
      <w:lvlJc w:val="left"/>
      <w:pPr>
        <w:tabs>
          <w:tab w:val="num" w:pos="9179"/>
        </w:tabs>
        <w:ind w:left="9179" w:hanging="360"/>
      </w:pPr>
      <w:rPr>
        <w:rFonts w:ascii="Wingdings" w:hAnsi="Wingdings" w:hint="default"/>
      </w:rPr>
    </w:lvl>
  </w:abstractNum>
  <w:abstractNum w:abstractNumId="6" w15:restartNumberingAfterBreak="0">
    <w:nsid w:val="242E1F7B"/>
    <w:multiLevelType w:val="hybridMultilevel"/>
    <w:tmpl w:val="0B08B5C6"/>
    <w:lvl w:ilvl="0" w:tplc="125474FA">
      <w:start w:val="1"/>
      <w:numFmt w:val="decimal"/>
      <w:pStyle w:val="Heading2"/>
      <w:lvlText w:val="%1."/>
      <w:lvlJc w:val="left"/>
      <w:pPr>
        <w:ind w:left="360" w:hanging="360"/>
      </w:pPr>
      <w:rPr>
        <w:rFonts w:ascii="Trebuchet MS" w:hAnsi="Trebuchet MS" w:hint="default"/>
        <w:b w:val="0"/>
        <w:i w:val="0"/>
        <w:color w:val="004B91" w:themeColor="accent2"/>
        <w:sz w:val="3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2C0E5FCA"/>
    <w:multiLevelType w:val="multilevel"/>
    <w:tmpl w:val="596272A6"/>
    <w:name w:val="StandardBulletedList"/>
    <w:lvl w:ilvl="0">
      <w:start w:val="1"/>
      <w:numFmt w:val="bullet"/>
      <w:lvlText w:val="•"/>
      <w:lvlJc w:val="left"/>
      <w:pPr>
        <w:tabs>
          <w:tab w:val="num" w:pos="472"/>
        </w:tabs>
        <w:ind w:left="472" w:hanging="472"/>
      </w:pPr>
      <w:rPr>
        <w:rFonts w:ascii="Times New Roman" w:hAnsi="Times New Roman" w:cs="Times New Roman"/>
      </w:rPr>
    </w:lvl>
    <w:lvl w:ilvl="1">
      <w:start w:val="1"/>
      <w:numFmt w:val="bullet"/>
      <w:lvlText w:val="–"/>
      <w:lvlJc w:val="left"/>
      <w:pPr>
        <w:tabs>
          <w:tab w:val="num" w:pos="944"/>
        </w:tabs>
        <w:ind w:left="944" w:hanging="472"/>
      </w:pPr>
      <w:rPr>
        <w:rFonts w:ascii="Times New Roman" w:hAnsi="Times New Roman" w:cs="Times New Roman"/>
      </w:rPr>
    </w:lvl>
    <w:lvl w:ilvl="2">
      <w:start w:val="1"/>
      <w:numFmt w:val="bullet"/>
      <w:lvlText w:val=":"/>
      <w:lvlJc w:val="left"/>
      <w:pPr>
        <w:tabs>
          <w:tab w:val="num" w:pos="1416"/>
        </w:tabs>
        <w:ind w:left="1416" w:hanging="472"/>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30667C22"/>
    <w:multiLevelType w:val="hybridMultilevel"/>
    <w:tmpl w:val="F410A5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34F132C4"/>
    <w:multiLevelType w:val="hybridMultilevel"/>
    <w:tmpl w:val="94EEDBE4"/>
    <w:lvl w:ilvl="0" w:tplc="0C090001">
      <w:start w:val="1"/>
      <w:numFmt w:val="bullet"/>
      <w:lvlText w:val=""/>
      <w:lvlJc w:val="left"/>
      <w:pPr>
        <w:ind w:left="1077" w:hanging="360"/>
      </w:pPr>
      <w:rPr>
        <w:rFonts w:ascii="Symbol" w:hAnsi="Symbol" w:hint="default"/>
      </w:rPr>
    </w:lvl>
    <w:lvl w:ilvl="1" w:tplc="0C090003" w:tentative="1">
      <w:start w:val="1"/>
      <w:numFmt w:val="bullet"/>
      <w:lvlText w:val="o"/>
      <w:lvlJc w:val="left"/>
      <w:pPr>
        <w:ind w:left="1797" w:hanging="360"/>
      </w:pPr>
      <w:rPr>
        <w:rFonts w:ascii="Courier New" w:hAnsi="Courier New" w:cs="Courier New"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10" w15:restartNumberingAfterBreak="0">
    <w:nsid w:val="3E976DFF"/>
    <w:multiLevelType w:val="hybridMultilevel"/>
    <w:tmpl w:val="299A8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40193FDE"/>
    <w:multiLevelType w:val="multilevel"/>
    <w:tmpl w:val="FD0ED09E"/>
    <w:lvl w:ilvl="0">
      <w:start w:val="1"/>
      <w:numFmt w:val="bullet"/>
      <w:pStyle w:val="BulletL1"/>
      <w:lvlText w:val=""/>
      <w:lvlJc w:val="left"/>
      <w:pPr>
        <w:ind w:left="284" w:hanging="284"/>
      </w:pPr>
      <w:rPr>
        <w:rFonts w:ascii="Wingdings" w:hAnsi="Wingdings" w:hint="default"/>
        <w:color w:val="002F65" w:themeColor="accent1"/>
        <w:sz w:val="17"/>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1440"/>
        </w:tabs>
        <w:ind w:left="284" w:firstLine="0"/>
      </w:pPr>
      <w:rPr>
        <w:rFonts w:ascii="Arial" w:hAnsi="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851061F"/>
    <w:multiLevelType w:val="multilevel"/>
    <w:tmpl w:val="DA72D142"/>
    <w:name w:val="StandardBulletedList11"/>
    <w:lvl w:ilvl="0">
      <w:start w:val="1"/>
      <w:numFmt w:val="bullet"/>
      <w:pStyle w:val="Bullet"/>
      <w:lvlText w:val=""/>
      <w:lvlJc w:val="left"/>
      <w:pPr>
        <w:ind w:left="284" w:hanging="284"/>
      </w:pPr>
      <w:rPr>
        <w:rFonts w:ascii="Zapf Dingbats" w:hAnsi="Zapf Dingbats" w:hint="default"/>
        <w:color w:val="19457A"/>
        <w:sz w:val="9"/>
        <w:szCs w:val="9"/>
      </w:rPr>
    </w:lvl>
    <w:lvl w:ilvl="1">
      <w:start w:val="1"/>
      <w:numFmt w:val="bullet"/>
      <w:pStyle w:val="Dash"/>
      <w:lvlText w:val="–"/>
      <w:lvlJc w:val="left"/>
      <w:pPr>
        <w:tabs>
          <w:tab w:val="num" w:pos="1400"/>
        </w:tabs>
        <w:ind w:left="1400" w:hanging="520"/>
      </w:pPr>
      <w:rPr>
        <w:rFonts w:ascii="Times New Roman" w:hAnsi="Times New Roman" w:cs="Times New Roman" w:hint="default"/>
      </w:rPr>
    </w:lvl>
    <w:lvl w:ilvl="2">
      <w:start w:val="1"/>
      <w:numFmt w:val="bullet"/>
      <w:pStyle w:val="DoubleDot"/>
      <w:lvlText w:val=":"/>
      <w:lvlJc w:val="left"/>
      <w:pPr>
        <w:tabs>
          <w:tab w:val="num" w:pos="1920"/>
        </w:tabs>
        <w:ind w:left="1920" w:hanging="520"/>
      </w:pPr>
      <w:rPr>
        <w:rFonts w:ascii="Times New Roman" w:hAnsi="Times New Roman" w:cs="Times New Roman"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3" w15:restartNumberingAfterBreak="0">
    <w:nsid w:val="51207F0A"/>
    <w:multiLevelType w:val="hybridMultilevel"/>
    <w:tmpl w:val="E0BC13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3523D03"/>
    <w:multiLevelType w:val="hybridMultilevel"/>
    <w:tmpl w:val="C5887D98"/>
    <w:lvl w:ilvl="0" w:tplc="9A1A7E88">
      <w:start w:val="1"/>
      <w:numFmt w:val="bullet"/>
      <w:pStyle w:val="ARPCTable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5D1A7112"/>
    <w:multiLevelType w:val="multilevel"/>
    <w:tmpl w:val="A14C830A"/>
    <w:lvl w:ilvl="0">
      <w:start w:val="1"/>
      <w:numFmt w:val="decimal"/>
      <w:pStyle w:val="H1numbered"/>
      <w:lvlText w:val="%1."/>
      <w:lvlJc w:val="left"/>
      <w:pPr>
        <w:tabs>
          <w:tab w:val="num" w:pos="851"/>
        </w:tabs>
        <w:ind w:left="851" w:hanging="851"/>
      </w:pPr>
      <w:rPr>
        <w:rFonts w:hint="default"/>
      </w:rPr>
    </w:lvl>
    <w:lvl w:ilvl="1">
      <w:start w:val="1"/>
      <w:numFmt w:val="decimal"/>
      <w:pStyle w:val="H2numbered"/>
      <w:lvlText w:val="%1.%2"/>
      <w:lvlJc w:val="left"/>
      <w:pPr>
        <w:tabs>
          <w:tab w:val="num" w:pos="851"/>
        </w:tabs>
        <w:ind w:left="851" w:hanging="851"/>
      </w:pPr>
      <w:rPr>
        <w:rFonts w:hint="default"/>
      </w:rPr>
    </w:lvl>
    <w:lvl w:ilvl="2">
      <w:start w:val="1"/>
      <w:numFmt w:val="decimal"/>
      <w:pStyle w:val="H3numbered"/>
      <w:lvlText w:val="%1.%2.%3"/>
      <w:lvlJc w:val="left"/>
      <w:pPr>
        <w:tabs>
          <w:tab w:val="num" w:pos="851"/>
        </w:tabs>
        <w:ind w:left="851" w:hanging="851"/>
      </w:pPr>
      <w:rPr>
        <w:rFonts w:hint="default"/>
      </w:rPr>
    </w:lvl>
    <w:lvl w:ilvl="3">
      <w:start w:val="1"/>
      <w:numFmt w:val="decimal"/>
      <w:pStyle w:val="H4numbered"/>
      <w:lvlText w:val="%1.%2.%3.%4"/>
      <w:lvlJc w:val="left"/>
      <w:pPr>
        <w:tabs>
          <w:tab w:val="num" w:pos="851"/>
        </w:tabs>
        <w:ind w:left="851" w:hanging="851"/>
      </w:pPr>
      <w:rPr>
        <w:rFonts w:hint="default"/>
      </w:rPr>
    </w:lvl>
    <w:lvl w:ilvl="4">
      <w:start w:val="1"/>
      <w:numFmt w:val="decimal"/>
      <w:pStyle w:val="Appendices"/>
      <w:lvlText w:val="A.%5"/>
      <w:lvlJc w:val="left"/>
      <w:pPr>
        <w:tabs>
          <w:tab w:val="num" w:pos="1134"/>
        </w:tabs>
        <w:ind w:left="1134" w:hanging="1134"/>
      </w:pPr>
      <w:rPr>
        <w:rFonts w:hint="default"/>
      </w:rPr>
    </w:lvl>
    <w:lvl w:ilvl="5">
      <w:start w:val="1"/>
      <w:numFmt w:val="decimal"/>
      <w:lvlText w:val="%1.%2.%3.%4.%5.%6"/>
      <w:lvlJc w:val="left"/>
      <w:pPr>
        <w:tabs>
          <w:tab w:val="num" w:pos="851"/>
        </w:tabs>
        <w:ind w:left="851" w:hanging="851"/>
      </w:pPr>
      <w:rPr>
        <w:rFonts w:hint="default"/>
      </w:rPr>
    </w:lvl>
    <w:lvl w:ilvl="6">
      <w:start w:val="1"/>
      <w:numFmt w:val="decimal"/>
      <w:lvlRestart w:val="0"/>
      <w:lvlText w:val="%1.%2.%3.%4.%5.%6.%7"/>
      <w:lvlJc w:val="left"/>
      <w:pPr>
        <w:tabs>
          <w:tab w:val="num" w:pos="851"/>
        </w:tabs>
        <w:ind w:left="851" w:hanging="851"/>
      </w:pPr>
      <w:rPr>
        <w:rFonts w:hint="default"/>
      </w:rPr>
    </w:lvl>
    <w:lvl w:ilvl="7">
      <w:start w:val="1"/>
      <w:numFmt w:val="decimal"/>
      <w:lvlText w:val="%1.%2.%3.%4.%5.%6.%7.%8"/>
      <w:lvlJc w:val="left"/>
      <w:pPr>
        <w:tabs>
          <w:tab w:val="num" w:pos="851"/>
        </w:tabs>
        <w:ind w:left="851" w:hanging="851"/>
      </w:pPr>
      <w:rPr>
        <w:rFonts w:hint="default"/>
      </w:rPr>
    </w:lvl>
    <w:lvl w:ilvl="8">
      <w:start w:val="1"/>
      <w:numFmt w:val="decimal"/>
      <w:lvlText w:val="%1.%2.%3.%4.%5.%6.%7.%8.%9"/>
      <w:lvlJc w:val="left"/>
      <w:pPr>
        <w:tabs>
          <w:tab w:val="num" w:pos="851"/>
        </w:tabs>
        <w:ind w:left="851" w:hanging="851"/>
      </w:pPr>
      <w:rPr>
        <w:rFonts w:hint="default"/>
      </w:rPr>
    </w:lvl>
  </w:abstractNum>
  <w:abstractNum w:abstractNumId="16" w15:restartNumberingAfterBreak="0">
    <w:nsid w:val="5E897D73"/>
    <w:multiLevelType w:val="hybridMultilevel"/>
    <w:tmpl w:val="37B8E110"/>
    <w:lvl w:ilvl="0" w:tplc="B4663B04">
      <w:start w:val="1"/>
      <w:numFmt w:val="bullet"/>
      <w:pStyle w:val="TablebulletL1"/>
      <w:lvlText w:val="—"/>
      <w:lvlJc w:val="left"/>
      <w:pPr>
        <w:ind w:left="360" w:hanging="360"/>
      </w:pPr>
      <w:rPr>
        <w:rFonts w:ascii="HelveticaNeue LT 45 Lt" w:hAnsi="HelveticaNeue LT 45 Lt" w:hint="default"/>
        <w:color w:val="000000" w:themeColor="text1"/>
        <w:sz w:val="20"/>
        <w14:shadow w14:blurRad="0" w14:dist="0" w14:dir="0" w14:sx="0" w14:sy="0" w14:kx="0" w14:ky="0" w14:algn="none">
          <w14:srgbClr w14:val="000000"/>
        </w14:shadow>
        <w14:textOutline w14:w="0" w14:cap="rnd" w14:cmpd="sng" w14:algn="ctr">
          <w14:noFill/>
          <w14:prstDash w14:val="solid"/>
          <w14:bevel/>
        </w14:textOutline>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12808DF"/>
    <w:multiLevelType w:val="hybridMultilevel"/>
    <w:tmpl w:val="EEFE4A46"/>
    <w:lvl w:ilvl="0" w:tplc="988238AE">
      <w:start w:val="1"/>
      <w:numFmt w:val="decimal"/>
      <w:pStyle w:val="Heading1"/>
      <w:lvlText w:val="%1."/>
      <w:lvlJc w:val="left"/>
      <w:pPr>
        <w:ind w:left="720" w:hanging="360"/>
      </w:pPr>
      <w:rPr>
        <w:rFonts w:ascii="Trebuchet MS" w:hAnsi="Trebuchet MS" w:hint="default"/>
        <w:color w:val="FFFFFF" w:themeColor="background1"/>
        <w:sz w:val="4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A782D84A">
      <w:start w:val="1"/>
      <w:numFmt w:val="decimal"/>
      <w:lvlText w:val="%7."/>
      <w:lvlJc w:val="left"/>
      <w:pPr>
        <w:ind w:left="5322" w:hanging="360"/>
      </w:pPr>
      <w:rPr>
        <w:color w:val="FFFFFF" w:themeColor="background1"/>
      </w:rPr>
    </w:lvl>
    <w:lvl w:ilvl="7" w:tplc="0C090019">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6D25E39"/>
    <w:multiLevelType w:val="hybridMultilevel"/>
    <w:tmpl w:val="61E89A52"/>
    <w:lvl w:ilvl="0" w:tplc="079C6CC0">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9E41611"/>
    <w:multiLevelType w:val="hybridMultilevel"/>
    <w:tmpl w:val="58B0DF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 w15:restartNumberingAfterBreak="0">
    <w:nsid w:val="6A620044"/>
    <w:multiLevelType w:val="hybridMultilevel"/>
    <w:tmpl w:val="7DE688B8"/>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51C068A"/>
    <w:multiLevelType w:val="hybridMultilevel"/>
    <w:tmpl w:val="2DFA4E4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84D0755"/>
    <w:multiLevelType w:val="hybridMultilevel"/>
    <w:tmpl w:val="DA6C20C8"/>
    <w:lvl w:ilvl="0" w:tplc="F15E6150">
      <w:start w:val="1"/>
      <w:numFmt w:val="bullet"/>
      <w:lvlText w:val=""/>
      <w:lvlJc w:val="left"/>
      <w:pPr>
        <w:ind w:left="720" w:hanging="360"/>
      </w:pPr>
      <w:rPr>
        <w:rFonts w:ascii="Symbol" w:hAnsi="Symbol" w:hint="default"/>
      </w:rPr>
    </w:lvl>
    <w:lvl w:ilvl="1" w:tplc="B4A6DB52">
      <w:start w:val="1"/>
      <w:numFmt w:val="bullet"/>
      <w:lvlText w:val="o"/>
      <w:lvlJc w:val="left"/>
      <w:pPr>
        <w:ind w:left="1440" w:hanging="360"/>
      </w:pPr>
      <w:rPr>
        <w:rFonts w:ascii="Courier New" w:hAnsi="Courier New" w:hint="default"/>
      </w:rPr>
    </w:lvl>
    <w:lvl w:ilvl="2" w:tplc="770C8442">
      <w:start w:val="1"/>
      <w:numFmt w:val="bullet"/>
      <w:lvlText w:val=""/>
      <w:lvlJc w:val="left"/>
      <w:pPr>
        <w:ind w:left="2160" w:hanging="360"/>
      </w:pPr>
      <w:rPr>
        <w:rFonts w:ascii="Wingdings" w:hAnsi="Wingdings" w:hint="default"/>
      </w:rPr>
    </w:lvl>
    <w:lvl w:ilvl="3" w:tplc="4B86B0FA">
      <w:start w:val="1"/>
      <w:numFmt w:val="bullet"/>
      <w:lvlText w:val=""/>
      <w:lvlJc w:val="left"/>
      <w:pPr>
        <w:ind w:left="2880" w:hanging="360"/>
      </w:pPr>
      <w:rPr>
        <w:rFonts w:ascii="Symbol" w:hAnsi="Symbol" w:hint="default"/>
      </w:rPr>
    </w:lvl>
    <w:lvl w:ilvl="4" w:tplc="1BBA0690">
      <w:start w:val="1"/>
      <w:numFmt w:val="bullet"/>
      <w:lvlText w:val="o"/>
      <w:lvlJc w:val="left"/>
      <w:pPr>
        <w:ind w:left="3600" w:hanging="360"/>
      </w:pPr>
      <w:rPr>
        <w:rFonts w:ascii="Courier New" w:hAnsi="Courier New" w:hint="default"/>
      </w:rPr>
    </w:lvl>
    <w:lvl w:ilvl="5" w:tplc="394691A8">
      <w:start w:val="1"/>
      <w:numFmt w:val="bullet"/>
      <w:lvlText w:val=""/>
      <w:lvlJc w:val="left"/>
      <w:pPr>
        <w:ind w:left="4320" w:hanging="360"/>
      </w:pPr>
      <w:rPr>
        <w:rFonts w:ascii="Wingdings" w:hAnsi="Wingdings" w:hint="default"/>
      </w:rPr>
    </w:lvl>
    <w:lvl w:ilvl="6" w:tplc="514EA79C">
      <w:start w:val="1"/>
      <w:numFmt w:val="bullet"/>
      <w:lvlText w:val=""/>
      <w:lvlJc w:val="left"/>
      <w:pPr>
        <w:ind w:left="5040" w:hanging="360"/>
      </w:pPr>
      <w:rPr>
        <w:rFonts w:ascii="Symbol" w:hAnsi="Symbol" w:hint="default"/>
      </w:rPr>
    </w:lvl>
    <w:lvl w:ilvl="7" w:tplc="9F1692F8">
      <w:start w:val="1"/>
      <w:numFmt w:val="bullet"/>
      <w:lvlText w:val="o"/>
      <w:lvlJc w:val="left"/>
      <w:pPr>
        <w:ind w:left="5760" w:hanging="360"/>
      </w:pPr>
      <w:rPr>
        <w:rFonts w:ascii="Courier New" w:hAnsi="Courier New" w:hint="default"/>
      </w:rPr>
    </w:lvl>
    <w:lvl w:ilvl="8" w:tplc="BC8009FA">
      <w:start w:val="1"/>
      <w:numFmt w:val="bullet"/>
      <w:lvlText w:val=""/>
      <w:lvlJc w:val="left"/>
      <w:pPr>
        <w:ind w:left="6480" w:hanging="360"/>
      </w:pPr>
      <w:rPr>
        <w:rFonts w:ascii="Wingdings" w:hAnsi="Wingdings" w:hint="default"/>
      </w:rPr>
    </w:lvl>
  </w:abstractNum>
  <w:abstractNum w:abstractNumId="23" w15:restartNumberingAfterBreak="0">
    <w:nsid w:val="786C2AF1"/>
    <w:multiLevelType w:val="hybridMultilevel"/>
    <w:tmpl w:val="D9FEA740"/>
    <w:lvl w:ilvl="0" w:tplc="E03ABE8E">
      <w:start w:val="1"/>
      <w:numFmt w:val="bullet"/>
      <w:pStyle w:val="TablebulletL2"/>
      <w:lvlText w:val="—"/>
      <w:lvlJc w:val="left"/>
      <w:pPr>
        <w:ind w:left="644" w:hanging="360"/>
      </w:pPr>
      <w:rPr>
        <w:rFonts w:ascii="HelveticaNeue LT 45 Lt" w:hAnsi="HelveticaNeue LT 45 Lt" w:hint="default"/>
        <w:color w:val="000000" w:themeColor="text1"/>
        <w:sz w:val="2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B70454B"/>
    <w:multiLevelType w:val="hybridMultilevel"/>
    <w:tmpl w:val="2F6CCA48"/>
    <w:lvl w:ilvl="0" w:tplc="AE70860C">
      <w:start w:val="1"/>
      <w:numFmt w:val="decimal"/>
      <w:lvlText w:val="%1."/>
      <w:lvlJc w:val="left"/>
      <w:pPr>
        <w:ind w:left="720" w:hanging="360"/>
      </w:pPr>
    </w:lvl>
    <w:lvl w:ilvl="1" w:tplc="F202015A">
      <w:start w:val="1"/>
      <w:numFmt w:val="lowerLetter"/>
      <w:lvlText w:val="%2."/>
      <w:lvlJc w:val="left"/>
      <w:pPr>
        <w:ind w:left="1440" w:hanging="360"/>
      </w:pPr>
    </w:lvl>
    <w:lvl w:ilvl="2" w:tplc="1CEAC360">
      <w:start w:val="1"/>
      <w:numFmt w:val="lowerRoman"/>
      <w:lvlText w:val="%3."/>
      <w:lvlJc w:val="right"/>
      <w:pPr>
        <w:ind w:left="2160" w:hanging="180"/>
      </w:pPr>
    </w:lvl>
    <w:lvl w:ilvl="3" w:tplc="D862D53C">
      <w:start w:val="1"/>
      <w:numFmt w:val="decimal"/>
      <w:lvlText w:val="%4."/>
      <w:lvlJc w:val="left"/>
      <w:pPr>
        <w:ind w:left="2880" w:hanging="360"/>
      </w:pPr>
    </w:lvl>
    <w:lvl w:ilvl="4" w:tplc="F77CD610">
      <w:start w:val="1"/>
      <w:numFmt w:val="lowerLetter"/>
      <w:lvlText w:val="%5."/>
      <w:lvlJc w:val="left"/>
      <w:pPr>
        <w:ind w:left="3600" w:hanging="360"/>
      </w:pPr>
    </w:lvl>
    <w:lvl w:ilvl="5" w:tplc="A51C99C4">
      <w:start w:val="1"/>
      <w:numFmt w:val="lowerRoman"/>
      <w:lvlText w:val="%6."/>
      <w:lvlJc w:val="right"/>
      <w:pPr>
        <w:ind w:left="4320" w:hanging="180"/>
      </w:pPr>
    </w:lvl>
    <w:lvl w:ilvl="6" w:tplc="9A1A811E">
      <w:start w:val="1"/>
      <w:numFmt w:val="decimal"/>
      <w:lvlText w:val="%7."/>
      <w:lvlJc w:val="left"/>
      <w:pPr>
        <w:ind w:left="5040" w:hanging="360"/>
      </w:pPr>
    </w:lvl>
    <w:lvl w:ilvl="7" w:tplc="E9D64BD4">
      <w:start w:val="1"/>
      <w:numFmt w:val="lowerLetter"/>
      <w:lvlText w:val="%8."/>
      <w:lvlJc w:val="left"/>
      <w:pPr>
        <w:ind w:left="5760" w:hanging="360"/>
      </w:pPr>
    </w:lvl>
    <w:lvl w:ilvl="8" w:tplc="85BC1422">
      <w:start w:val="1"/>
      <w:numFmt w:val="lowerRoman"/>
      <w:lvlText w:val="%9."/>
      <w:lvlJc w:val="right"/>
      <w:pPr>
        <w:ind w:left="6480" w:hanging="180"/>
      </w:pPr>
    </w:lvl>
  </w:abstractNum>
  <w:num w:numId="1">
    <w:abstractNumId w:val="5"/>
  </w:num>
  <w:num w:numId="2">
    <w:abstractNumId w:val="11"/>
  </w:num>
  <w:num w:numId="3">
    <w:abstractNumId w:val="15"/>
  </w:num>
  <w:num w:numId="4">
    <w:abstractNumId w:val="16"/>
  </w:num>
  <w:num w:numId="5">
    <w:abstractNumId w:val="23"/>
  </w:num>
  <w:num w:numId="6">
    <w:abstractNumId w:val="12"/>
  </w:num>
  <w:num w:numId="7">
    <w:abstractNumId w:val="24"/>
  </w:num>
  <w:num w:numId="8">
    <w:abstractNumId w:val="6"/>
  </w:num>
  <w:num w:numId="9">
    <w:abstractNumId w:val="17"/>
  </w:num>
  <w:num w:numId="10">
    <w:abstractNumId w:val="20"/>
  </w:num>
  <w:num w:numId="11">
    <w:abstractNumId w:val="14"/>
  </w:num>
  <w:num w:numId="12">
    <w:abstractNumId w:val="19"/>
  </w:num>
  <w:num w:numId="13">
    <w:abstractNumId w:val="0"/>
  </w:num>
  <w:num w:numId="14">
    <w:abstractNumId w:val="2"/>
  </w:num>
  <w:num w:numId="15">
    <w:abstractNumId w:val="13"/>
  </w:num>
  <w:num w:numId="16">
    <w:abstractNumId w:val="8"/>
  </w:num>
  <w:num w:numId="17">
    <w:abstractNumId w:val="1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19"/>
  </w:num>
  <w:num w:numId="20">
    <w:abstractNumId w:val="0"/>
  </w:num>
  <w:num w:numId="21">
    <w:abstractNumId w:val="1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1"/>
  </w:num>
  <w:num w:numId="24">
    <w:abstractNumId w:val="11"/>
  </w:num>
  <w:num w:numId="25">
    <w:abstractNumId w:val="22"/>
  </w:num>
  <w:num w:numId="26">
    <w:abstractNumId w:val="7"/>
  </w:num>
  <w:num w:numId="27">
    <w:abstractNumId w:val="21"/>
  </w:num>
  <w:num w:numId="28">
    <w:abstractNumId w:val="1"/>
  </w:num>
  <w:num w:numId="29">
    <w:abstractNumId w:val="4"/>
  </w:num>
  <w:num w:numId="30">
    <w:abstractNumId w:val="18"/>
  </w:num>
  <w:num w:numId="31">
    <w:abstractNumId w:val="9"/>
  </w:num>
  <w:num w:numId="32">
    <w:abstractNumId w:val="3"/>
  </w:num>
  <w:num w:numId="33">
    <w:abstractNumId w:val="1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43F7"/>
    <w:rsid w:val="0000139B"/>
    <w:rsid w:val="000024F0"/>
    <w:rsid w:val="00004C30"/>
    <w:rsid w:val="00004C9E"/>
    <w:rsid w:val="00007CC8"/>
    <w:rsid w:val="000104BE"/>
    <w:rsid w:val="000145A7"/>
    <w:rsid w:val="00015437"/>
    <w:rsid w:val="00016805"/>
    <w:rsid w:val="00025755"/>
    <w:rsid w:val="00025948"/>
    <w:rsid w:val="00025C59"/>
    <w:rsid w:val="00025E10"/>
    <w:rsid w:val="00025E51"/>
    <w:rsid w:val="00031AA6"/>
    <w:rsid w:val="00032C16"/>
    <w:rsid w:val="00034269"/>
    <w:rsid w:val="00034531"/>
    <w:rsid w:val="0003506D"/>
    <w:rsid w:val="00035B64"/>
    <w:rsid w:val="0003613A"/>
    <w:rsid w:val="00043C10"/>
    <w:rsid w:val="00043E15"/>
    <w:rsid w:val="00044886"/>
    <w:rsid w:val="00051DAD"/>
    <w:rsid w:val="00053F51"/>
    <w:rsid w:val="0005469A"/>
    <w:rsid w:val="00054CCB"/>
    <w:rsid w:val="00055961"/>
    <w:rsid w:val="00055F4E"/>
    <w:rsid w:val="00056397"/>
    <w:rsid w:val="000566F8"/>
    <w:rsid w:val="00061E79"/>
    <w:rsid w:val="00062182"/>
    <w:rsid w:val="00062D8C"/>
    <w:rsid w:val="0006382B"/>
    <w:rsid w:val="0006441A"/>
    <w:rsid w:val="0006614D"/>
    <w:rsid w:val="0006623D"/>
    <w:rsid w:val="00067431"/>
    <w:rsid w:val="000701BA"/>
    <w:rsid w:val="00070DA5"/>
    <w:rsid w:val="000718E8"/>
    <w:rsid w:val="00071E43"/>
    <w:rsid w:val="00075042"/>
    <w:rsid w:val="00076BF0"/>
    <w:rsid w:val="00081619"/>
    <w:rsid w:val="0008765F"/>
    <w:rsid w:val="00090F16"/>
    <w:rsid w:val="00092948"/>
    <w:rsid w:val="000937D5"/>
    <w:rsid w:val="00096756"/>
    <w:rsid w:val="000970AC"/>
    <w:rsid w:val="000A1B10"/>
    <w:rsid w:val="000A3C70"/>
    <w:rsid w:val="000A4B3D"/>
    <w:rsid w:val="000A5EF0"/>
    <w:rsid w:val="000B282C"/>
    <w:rsid w:val="000B2DEE"/>
    <w:rsid w:val="000B7C2B"/>
    <w:rsid w:val="000C5206"/>
    <w:rsid w:val="000C5A7E"/>
    <w:rsid w:val="000C6812"/>
    <w:rsid w:val="000D1BB1"/>
    <w:rsid w:val="000D4F3B"/>
    <w:rsid w:val="000D6C83"/>
    <w:rsid w:val="000E1672"/>
    <w:rsid w:val="000E1DD1"/>
    <w:rsid w:val="000E2BEE"/>
    <w:rsid w:val="000E54F8"/>
    <w:rsid w:val="000E5647"/>
    <w:rsid w:val="000E79E5"/>
    <w:rsid w:val="000F19BB"/>
    <w:rsid w:val="000F1D12"/>
    <w:rsid w:val="000F22A5"/>
    <w:rsid w:val="000F37DC"/>
    <w:rsid w:val="000F6B05"/>
    <w:rsid w:val="00101236"/>
    <w:rsid w:val="001017C6"/>
    <w:rsid w:val="00102D6A"/>
    <w:rsid w:val="00104E5C"/>
    <w:rsid w:val="00107A37"/>
    <w:rsid w:val="00110191"/>
    <w:rsid w:val="00110523"/>
    <w:rsid w:val="00112953"/>
    <w:rsid w:val="001243DA"/>
    <w:rsid w:val="001258B1"/>
    <w:rsid w:val="00132AEF"/>
    <w:rsid w:val="0013798B"/>
    <w:rsid w:val="00140F7E"/>
    <w:rsid w:val="00145E2F"/>
    <w:rsid w:val="00146D56"/>
    <w:rsid w:val="0014793F"/>
    <w:rsid w:val="00152ABF"/>
    <w:rsid w:val="0016081C"/>
    <w:rsid w:val="00160A7A"/>
    <w:rsid w:val="00165415"/>
    <w:rsid w:val="00166206"/>
    <w:rsid w:val="001707D3"/>
    <w:rsid w:val="00170E24"/>
    <w:rsid w:val="00172702"/>
    <w:rsid w:val="001743C3"/>
    <w:rsid w:val="00182EB6"/>
    <w:rsid w:val="0018584D"/>
    <w:rsid w:val="00185E03"/>
    <w:rsid w:val="00187088"/>
    <w:rsid w:val="00187159"/>
    <w:rsid w:val="001872DC"/>
    <w:rsid w:val="00187A80"/>
    <w:rsid w:val="00187AEE"/>
    <w:rsid w:val="00194467"/>
    <w:rsid w:val="00196889"/>
    <w:rsid w:val="001A1AF5"/>
    <w:rsid w:val="001A3009"/>
    <w:rsid w:val="001A30E5"/>
    <w:rsid w:val="001A34BE"/>
    <w:rsid w:val="001A4237"/>
    <w:rsid w:val="001A4897"/>
    <w:rsid w:val="001B05F3"/>
    <w:rsid w:val="001B1AC0"/>
    <w:rsid w:val="001B1E9D"/>
    <w:rsid w:val="001B4BB0"/>
    <w:rsid w:val="001B5C59"/>
    <w:rsid w:val="001B6E4F"/>
    <w:rsid w:val="001C4E4A"/>
    <w:rsid w:val="001C675A"/>
    <w:rsid w:val="001C6C39"/>
    <w:rsid w:val="001C7C56"/>
    <w:rsid w:val="001D280F"/>
    <w:rsid w:val="001D3641"/>
    <w:rsid w:val="001D406F"/>
    <w:rsid w:val="001D478C"/>
    <w:rsid w:val="001D61E3"/>
    <w:rsid w:val="001D63E6"/>
    <w:rsid w:val="001D743F"/>
    <w:rsid w:val="001D7758"/>
    <w:rsid w:val="001E07A5"/>
    <w:rsid w:val="001E224B"/>
    <w:rsid w:val="001E241E"/>
    <w:rsid w:val="001E617D"/>
    <w:rsid w:val="001E6E6C"/>
    <w:rsid w:val="001E7CC3"/>
    <w:rsid w:val="001F27AF"/>
    <w:rsid w:val="001F34D6"/>
    <w:rsid w:val="001F39E8"/>
    <w:rsid w:val="0020055D"/>
    <w:rsid w:val="002024EC"/>
    <w:rsid w:val="00204873"/>
    <w:rsid w:val="002051B2"/>
    <w:rsid w:val="002106DC"/>
    <w:rsid w:val="00211320"/>
    <w:rsid w:val="0021468E"/>
    <w:rsid w:val="00215096"/>
    <w:rsid w:val="00215AE4"/>
    <w:rsid w:val="0022042D"/>
    <w:rsid w:val="0022104B"/>
    <w:rsid w:val="0022243A"/>
    <w:rsid w:val="002229E8"/>
    <w:rsid w:val="0022461E"/>
    <w:rsid w:val="00224E4E"/>
    <w:rsid w:val="002250C7"/>
    <w:rsid w:val="00225769"/>
    <w:rsid w:val="002268A7"/>
    <w:rsid w:val="00230DE3"/>
    <w:rsid w:val="0023359C"/>
    <w:rsid w:val="00234768"/>
    <w:rsid w:val="002347FC"/>
    <w:rsid w:val="0023482F"/>
    <w:rsid w:val="00236A51"/>
    <w:rsid w:val="00236D4C"/>
    <w:rsid w:val="002400AC"/>
    <w:rsid w:val="00243042"/>
    <w:rsid w:val="00243A97"/>
    <w:rsid w:val="002462DB"/>
    <w:rsid w:val="0025178F"/>
    <w:rsid w:val="00251DA0"/>
    <w:rsid w:val="00252521"/>
    <w:rsid w:val="00253CB0"/>
    <w:rsid w:val="002560CD"/>
    <w:rsid w:val="002624BF"/>
    <w:rsid w:val="00265002"/>
    <w:rsid w:val="00265EFA"/>
    <w:rsid w:val="00266111"/>
    <w:rsid w:val="00272C4A"/>
    <w:rsid w:val="00277861"/>
    <w:rsid w:val="00281EA3"/>
    <w:rsid w:val="0028255F"/>
    <w:rsid w:val="0028731A"/>
    <w:rsid w:val="002878A5"/>
    <w:rsid w:val="00287960"/>
    <w:rsid w:val="00287EEB"/>
    <w:rsid w:val="002909DC"/>
    <w:rsid w:val="002932A0"/>
    <w:rsid w:val="00294C14"/>
    <w:rsid w:val="00295254"/>
    <w:rsid w:val="00295398"/>
    <w:rsid w:val="00296B4E"/>
    <w:rsid w:val="002A1B1B"/>
    <w:rsid w:val="002A2F3B"/>
    <w:rsid w:val="002A6438"/>
    <w:rsid w:val="002A7C69"/>
    <w:rsid w:val="002B119B"/>
    <w:rsid w:val="002B197E"/>
    <w:rsid w:val="002B2C91"/>
    <w:rsid w:val="002B45B7"/>
    <w:rsid w:val="002B4C26"/>
    <w:rsid w:val="002B4E43"/>
    <w:rsid w:val="002B56E7"/>
    <w:rsid w:val="002B59AF"/>
    <w:rsid w:val="002C18A6"/>
    <w:rsid w:val="002C6F93"/>
    <w:rsid w:val="002D2C27"/>
    <w:rsid w:val="002D53AE"/>
    <w:rsid w:val="002D6E32"/>
    <w:rsid w:val="002D7BC3"/>
    <w:rsid w:val="002E1269"/>
    <w:rsid w:val="002E160D"/>
    <w:rsid w:val="002E1CEF"/>
    <w:rsid w:val="002E339E"/>
    <w:rsid w:val="002E4C82"/>
    <w:rsid w:val="002F0FA1"/>
    <w:rsid w:val="002F2D61"/>
    <w:rsid w:val="002F3B7E"/>
    <w:rsid w:val="002F5B1D"/>
    <w:rsid w:val="002F7128"/>
    <w:rsid w:val="0030026E"/>
    <w:rsid w:val="00301558"/>
    <w:rsid w:val="00302EA1"/>
    <w:rsid w:val="00303F04"/>
    <w:rsid w:val="003043C5"/>
    <w:rsid w:val="00306AB5"/>
    <w:rsid w:val="00311AE3"/>
    <w:rsid w:val="00313E06"/>
    <w:rsid w:val="00315337"/>
    <w:rsid w:val="00315595"/>
    <w:rsid w:val="003158B4"/>
    <w:rsid w:val="003166EC"/>
    <w:rsid w:val="003170FE"/>
    <w:rsid w:val="00317D76"/>
    <w:rsid w:val="0032283E"/>
    <w:rsid w:val="00322B5C"/>
    <w:rsid w:val="00322D2D"/>
    <w:rsid w:val="0033347D"/>
    <w:rsid w:val="00335DBE"/>
    <w:rsid w:val="003364FF"/>
    <w:rsid w:val="00340FCC"/>
    <w:rsid w:val="0034371B"/>
    <w:rsid w:val="00343CCC"/>
    <w:rsid w:val="003453DB"/>
    <w:rsid w:val="00354EFA"/>
    <w:rsid w:val="00357A2E"/>
    <w:rsid w:val="0036040A"/>
    <w:rsid w:val="00363E79"/>
    <w:rsid w:val="00364A84"/>
    <w:rsid w:val="00365955"/>
    <w:rsid w:val="00365D4C"/>
    <w:rsid w:val="00373F02"/>
    <w:rsid w:val="0037436A"/>
    <w:rsid w:val="00374ACA"/>
    <w:rsid w:val="003767ED"/>
    <w:rsid w:val="00376C25"/>
    <w:rsid w:val="00376FCF"/>
    <w:rsid w:val="00377111"/>
    <w:rsid w:val="00381766"/>
    <w:rsid w:val="00381F51"/>
    <w:rsid w:val="00382995"/>
    <w:rsid w:val="00384CD5"/>
    <w:rsid w:val="00384FFA"/>
    <w:rsid w:val="0038598A"/>
    <w:rsid w:val="00387CEF"/>
    <w:rsid w:val="003923EF"/>
    <w:rsid w:val="0039693A"/>
    <w:rsid w:val="003A6112"/>
    <w:rsid w:val="003B0C42"/>
    <w:rsid w:val="003B37BB"/>
    <w:rsid w:val="003B52F5"/>
    <w:rsid w:val="003B63A0"/>
    <w:rsid w:val="003B72B0"/>
    <w:rsid w:val="003C0AAC"/>
    <w:rsid w:val="003C3258"/>
    <w:rsid w:val="003C3C15"/>
    <w:rsid w:val="003D3C50"/>
    <w:rsid w:val="003D4A86"/>
    <w:rsid w:val="003D5EF5"/>
    <w:rsid w:val="003D6D0D"/>
    <w:rsid w:val="003E43FA"/>
    <w:rsid w:val="003E7616"/>
    <w:rsid w:val="003F0009"/>
    <w:rsid w:val="003F044A"/>
    <w:rsid w:val="003F072A"/>
    <w:rsid w:val="003F1316"/>
    <w:rsid w:val="003F255F"/>
    <w:rsid w:val="00400585"/>
    <w:rsid w:val="00401411"/>
    <w:rsid w:val="00403D34"/>
    <w:rsid w:val="00404BF5"/>
    <w:rsid w:val="0040514F"/>
    <w:rsid w:val="004073B4"/>
    <w:rsid w:val="00407C46"/>
    <w:rsid w:val="00410E06"/>
    <w:rsid w:val="00412271"/>
    <w:rsid w:val="00414073"/>
    <w:rsid w:val="00414399"/>
    <w:rsid w:val="004177D7"/>
    <w:rsid w:val="00420A05"/>
    <w:rsid w:val="00422AFE"/>
    <w:rsid w:val="00425C78"/>
    <w:rsid w:val="00427286"/>
    <w:rsid w:val="00430FFF"/>
    <w:rsid w:val="004317C8"/>
    <w:rsid w:val="00433AC7"/>
    <w:rsid w:val="0043579E"/>
    <w:rsid w:val="00436088"/>
    <w:rsid w:val="0043672C"/>
    <w:rsid w:val="004376E7"/>
    <w:rsid w:val="00441434"/>
    <w:rsid w:val="00442D95"/>
    <w:rsid w:val="004434E2"/>
    <w:rsid w:val="00445AC7"/>
    <w:rsid w:val="0044639E"/>
    <w:rsid w:val="00446DC6"/>
    <w:rsid w:val="004504C1"/>
    <w:rsid w:val="004513C4"/>
    <w:rsid w:val="00455971"/>
    <w:rsid w:val="00455ED5"/>
    <w:rsid w:val="0045762B"/>
    <w:rsid w:val="004578AA"/>
    <w:rsid w:val="00457BA3"/>
    <w:rsid w:val="00460482"/>
    <w:rsid w:val="004605E1"/>
    <w:rsid w:val="00461505"/>
    <w:rsid w:val="00462912"/>
    <w:rsid w:val="0046775A"/>
    <w:rsid w:val="00472CF0"/>
    <w:rsid w:val="00473E64"/>
    <w:rsid w:val="0047473A"/>
    <w:rsid w:val="00474853"/>
    <w:rsid w:val="00475564"/>
    <w:rsid w:val="00475CAA"/>
    <w:rsid w:val="004779A0"/>
    <w:rsid w:val="00481239"/>
    <w:rsid w:val="00487187"/>
    <w:rsid w:val="004915E9"/>
    <w:rsid w:val="00492698"/>
    <w:rsid w:val="00492930"/>
    <w:rsid w:val="004A147B"/>
    <w:rsid w:val="004A29B1"/>
    <w:rsid w:val="004A74F2"/>
    <w:rsid w:val="004B148E"/>
    <w:rsid w:val="004B3678"/>
    <w:rsid w:val="004B3906"/>
    <w:rsid w:val="004B4F10"/>
    <w:rsid w:val="004C176A"/>
    <w:rsid w:val="004C463C"/>
    <w:rsid w:val="004C64E5"/>
    <w:rsid w:val="004C6825"/>
    <w:rsid w:val="004D065D"/>
    <w:rsid w:val="004D13B6"/>
    <w:rsid w:val="004D13CB"/>
    <w:rsid w:val="004D3094"/>
    <w:rsid w:val="004D63C9"/>
    <w:rsid w:val="004D76D8"/>
    <w:rsid w:val="004E1ED6"/>
    <w:rsid w:val="004E2409"/>
    <w:rsid w:val="004E2F9D"/>
    <w:rsid w:val="004E7B39"/>
    <w:rsid w:val="004E7E69"/>
    <w:rsid w:val="004F109C"/>
    <w:rsid w:val="004F1303"/>
    <w:rsid w:val="004F261F"/>
    <w:rsid w:val="004F3557"/>
    <w:rsid w:val="004F49F8"/>
    <w:rsid w:val="004F4CA4"/>
    <w:rsid w:val="004F6654"/>
    <w:rsid w:val="004F6B6B"/>
    <w:rsid w:val="00500294"/>
    <w:rsid w:val="00501FEF"/>
    <w:rsid w:val="00503F8B"/>
    <w:rsid w:val="00504D15"/>
    <w:rsid w:val="0050600A"/>
    <w:rsid w:val="00506049"/>
    <w:rsid w:val="00506C1E"/>
    <w:rsid w:val="00510821"/>
    <w:rsid w:val="00511644"/>
    <w:rsid w:val="00512464"/>
    <w:rsid w:val="0051528B"/>
    <w:rsid w:val="00517F54"/>
    <w:rsid w:val="00522E10"/>
    <w:rsid w:val="00526FAD"/>
    <w:rsid w:val="00530E8D"/>
    <w:rsid w:val="00532326"/>
    <w:rsid w:val="005323E7"/>
    <w:rsid w:val="00532A23"/>
    <w:rsid w:val="005349DD"/>
    <w:rsid w:val="0054131C"/>
    <w:rsid w:val="00541E21"/>
    <w:rsid w:val="005435A0"/>
    <w:rsid w:val="00543C64"/>
    <w:rsid w:val="00544106"/>
    <w:rsid w:val="005454C5"/>
    <w:rsid w:val="0054692F"/>
    <w:rsid w:val="00546E6A"/>
    <w:rsid w:val="00550F01"/>
    <w:rsid w:val="0055142F"/>
    <w:rsid w:val="0055378C"/>
    <w:rsid w:val="00553F27"/>
    <w:rsid w:val="00556B20"/>
    <w:rsid w:val="00557152"/>
    <w:rsid w:val="00560651"/>
    <w:rsid w:val="00560F6C"/>
    <w:rsid w:val="00561A22"/>
    <w:rsid w:val="00561A2E"/>
    <w:rsid w:val="0056233F"/>
    <w:rsid w:val="00566824"/>
    <w:rsid w:val="00566DE7"/>
    <w:rsid w:val="00566E78"/>
    <w:rsid w:val="005721CE"/>
    <w:rsid w:val="0057238B"/>
    <w:rsid w:val="00572461"/>
    <w:rsid w:val="0057316C"/>
    <w:rsid w:val="00575B61"/>
    <w:rsid w:val="00580DF3"/>
    <w:rsid w:val="00581430"/>
    <w:rsid w:val="00582E4A"/>
    <w:rsid w:val="00583911"/>
    <w:rsid w:val="0058510E"/>
    <w:rsid w:val="00585B2F"/>
    <w:rsid w:val="00586D49"/>
    <w:rsid w:val="00591394"/>
    <w:rsid w:val="00595058"/>
    <w:rsid w:val="005973DD"/>
    <w:rsid w:val="005A1A77"/>
    <w:rsid w:val="005A1DC1"/>
    <w:rsid w:val="005A6CF2"/>
    <w:rsid w:val="005B170C"/>
    <w:rsid w:val="005B19C7"/>
    <w:rsid w:val="005B1C38"/>
    <w:rsid w:val="005B28B3"/>
    <w:rsid w:val="005B2CDA"/>
    <w:rsid w:val="005B408B"/>
    <w:rsid w:val="005B4135"/>
    <w:rsid w:val="005B41CA"/>
    <w:rsid w:val="005B438A"/>
    <w:rsid w:val="005B7300"/>
    <w:rsid w:val="005C4C83"/>
    <w:rsid w:val="005C4E67"/>
    <w:rsid w:val="005C6915"/>
    <w:rsid w:val="005C7698"/>
    <w:rsid w:val="005C76BB"/>
    <w:rsid w:val="005C7B9B"/>
    <w:rsid w:val="005D0CB0"/>
    <w:rsid w:val="005D109A"/>
    <w:rsid w:val="005D1B37"/>
    <w:rsid w:val="005D1CED"/>
    <w:rsid w:val="005D2E08"/>
    <w:rsid w:val="005D334F"/>
    <w:rsid w:val="005D5B89"/>
    <w:rsid w:val="005D60A5"/>
    <w:rsid w:val="005D62C5"/>
    <w:rsid w:val="005D71A6"/>
    <w:rsid w:val="005E00E0"/>
    <w:rsid w:val="005E1049"/>
    <w:rsid w:val="005E3D0D"/>
    <w:rsid w:val="005E4A93"/>
    <w:rsid w:val="005E5924"/>
    <w:rsid w:val="005E5EAE"/>
    <w:rsid w:val="005F1972"/>
    <w:rsid w:val="005F39AE"/>
    <w:rsid w:val="005F46CD"/>
    <w:rsid w:val="005F57C3"/>
    <w:rsid w:val="005F632B"/>
    <w:rsid w:val="005F75FD"/>
    <w:rsid w:val="005F7837"/>
    <w:rsid w:val="005F7F6A"/>
    <w:rsid w:val="00601251"/>
    <w:rsid w:val="006046E0"/>
    <w:rsid w:val="0060510F"/>
    <w:rsid w:val="00613BA3"/>
    <w:rsid w:val="00613E93"/>
    <w:rsid w:val="00616606"/>
    <w:rsid w:val="00620872"/>
    <w:rsid w:val="00621124"/>
    <w:rsid w:val="00624712"/>
    <w:rsid w:val="006249E2"/>
    <w:rsid w:val="00624AE6"/>
    <w:rsid w:val="00624DEF"/>
    <w:rsid w:val="00625893"/>
    <w:rsid w:val="0062631A"/>
    <w:rsid w:val="00626941"/>
    <w:rsid w:val="00627E61"/>
    <w:rsid w:val="0063020D"/>
    <w:rsid w:val="00630A99"/>
    <w:rsid w:val="00630C4E"/>
    <w:rsid w:val="006348FD"/>
    <w:rsid w:val="006367AF"/>
    <w:rsid w:val="006376FC"/>
    <w:rsid w:val="00637801"/>
    <w:rsid w:val="00643802"/>
    <w:rsid w:val="006456D4"/>
    <w:rsid w:val="00650654"/>
    <w:rsid w:val="00652913"/>
    <w:rsid w:val="00652DCE"/>
    <w:rsid w:val="00654835"/>
    <w:rsid w:val="00657E3E"/>
    <w:rsid w:val="00660F4E"/>
    <w:rsid w:val="00660F98"/>
    <w:rsid w:val="00661E03"/>
    <w:rsid w:val="00662685"/>
    <w:rsid w:val="006640D2"/>
    <w:rsid w:val="006642E4"/>
    <w:rsid w:val="00664F79"/>
    <w:rsid w:val="0066557B"/>
    <w:rsid w:val="00665CC7"/>
    <w:rsid w:val="00666BBF"/>
    <w:rsid w:val="00667528"/>
    <w:rsid w:val="00667BDD"/>
    <w:rsid w:val="00667DC6"/>
    <w:rsid w:val="00673FA4"/>
    <w:rsid w:val="006741A2"/>
    <w:rsid w:val="006743DD"/>
    <w:rsid w:val="0067466A"/>
    <w:rsid w:val="006754B2"/>
    <w:rsid w:val="0067654E"/>
    <w:rsid w:val="00683826"/>
    <w:rsid w:val="006873C6"/>
    <w:rsid w:val="00687D4D"/>
    <w:rsid w:val="006912E1"/>
    <w:rsid w:val="00691E25"/>
    <w:rsid w:val="00692628"/>
    <w:rsid w:val="00694EF1"/>
    <w:rsid w:val="0069590F"/>
    <w:rsid w:val="00695A99"/>
    <w:rsid w:val="00696A0D"/>
    <w:rsid w:val="00696D67"/>
    <w:rsid w:val="006A13B4"/>
    <w:rsid w:val="006A41E1"/>
    <w:rsid w:val="006A46AA"/>
    <w:rsid w:val="006A474E"/>
    <w:rsid w:val="006A59CD"/>
    <w:rsid w:val="006A79E1"/>
    <w:rsid w:val="006B3862"/>
    <w:rsid w:val="006B6B85"/>
    <w:rsid w:val="006B721C"/>
    <w:rsid w:val="006B7A86"/>
    <w:rsid w:val="006B7AF8"/>
    <w:rsid w:val="006B7D35"/>
    <w:rsid w:val="006D152B"/>
    <w:rsid w:val="006D1B1D"/>
    <w:rsid w:val="006D2939"/>
    <w:rsid w:val="006D3FDD"/>
    <w:rsid w:val="006D548B"/>
    <w:rsid w:val="006E06D2"/>
    <w:rsid w:val="006E10C3"/>
    <w:rsid w:val="006E217D"/>
    <w:rsid w:val="006E3DD8"/>
    <w:rsid w:val="006E4145"/>
    <w:rsid w:val="006F02C8"/>
    <w:rsid w:val="006F1DBA"/>
    <w:rsid w:val="006F65A0"/>
    <w:rsid w:val="006F7DF7"/>
    <w:rsid w:val="00700B6E"/>
    <w:rsid w:val="007016AE"/>
    <w:rsid w:val="007018F7"/>
    <w:rsid w:val="0070201A"/>
    <w:rsid w:val="007033D2"/>
    <w:rsid w:val="00705B4F"/>
    <w:rsid w:val="007065E9"/>
    <w:rsid w:val="007106D4"/>
    <w:rsid w:val="007111FC"/>
    <w:rsid w:val="007143F1"/>
    <w:rsid w:val="007143F7"/>
    <w:rsid w:val="00715B36"/>
    <w:rsid w:val="007208FF"/>
    <w:rsid w:val="00723973"/>
    <w:rsid w:val="00723B04"/>
    <w:rsid w:val="00723C52"/>
    <w:rsid w:val="0073145A"/>
    <w:rsid w:val="00734829"/>
    <w:rsid w:val="00734CBB"/>
    <w:rsid w:val="0074072A"/>
    <w:rsid w:val="00740CEF"/>
    <w:rsid w:val="0074172F"/>
    <w:rsid w:val="0074546C"/>
    <w:rsid w:val="00745CEA"/>
    <w:rsid w:val="007470F3"/>
    <w:rsid w:val="00747DC9"/>
    <w:rsid w:val="007513DD"/>
    <w:rsid w:val="00751AB6"/>
    <w:rsid w:val="00753121"/>
    <w:rsid w:val="00755A67"/>
    <w:rsid w:val="00755AC9"/>
    <w:rsid w:val="00760495"/>
    <w:rsid w:val="00762AF1"/>
    <w:rsid w:val="007670E4"/>
    <w:rsid w:val="007721FE"/>
    <w:rsid w:val="00773AF9"/>
    <w:rsid w:val="00777D7A"/>
    <w:rsid w:val="00784107"/>
    <w:rsid w:val="00784C44"/>
    <w:rsid w:val="0078564A"/>
    <w:rsid w:val="00791CE0"/>
    <w:rsid w:val="00791FFC"/>
    <w:rsid w:val="00793C1E"/>
    <w:rsid w:val="00793D7E"/>
    <w:rsid w:val="0079426F"/>
    <w:rsid w:val="0079510D"/>
    <w:rsid w:val="00795C29"/>
    <w:rsid w:val="007976AD"/>
    <w:rsid w:val="007A0232"/>
    <w:rsid w:val="007A5378"/>
    <w:rsid w:val="007A7CEF"/>
    <w:rsid w:val="007B3A88"/>
    <w:rsid w:val="007B3EAC"/>
    <w:rsid w:val="007B407B"/>
    <w:rsid w:val="007B42F9"/>
    <w:rsid w:val="007B4938"/>
    <w:rsid w:val="007B4F01"/>
    <w:rsid w:val="007B5760"/>
    <w:rsid w:val="007C28BA"/>
    <w:rsid w:val="007C3832"/>
    <w:rsid w:val="007C71C5"/>
    <w:rsid w:val="007D218D"/>
    <w:rsid w:val="007D58A4"/>
    <w:rsid w:val="007D5AD2"/>
    <w:rsid w:val="007E3D3E"/>
    <w:rsid w:val="007E3E70"/>
    <w:rsid w:val="007E4D7D"/>
    <w:rsid w:val="007E5FA9"/>
    <w:rsid w:val="007F07C2"/>
    <w:rsid w:val="007F1505"/>
    <w:rsid w:val="007F16A1"/>
    <w:rsid w:val="007F31BF"/>
    <w:rsid w:val="007F48B4"/>
    <w:rsid w:val="007F6D5A"/>
    <w:rsid w:val="007F7735"/>
    <w:rsid w:val="007F7E07"/>
    <w:rsid w:val="008037AA"/>
    <w:rsid w:val="00803CE0"/>
    <w:rsid w:val="00804114"/>
    <w:rsid w:val="008047ED"/>
    <w:rsid w:val="0080586D"/>
    <w:rsid w:val="00811486"/>
    <w:rsid w:val="00814E19"/>
    <w:rsid w:val="00815591"/>
    <w:rsid w:val="00815822"/>
    <w:rsid w:val="00820503"/>
    <w:rsid w:val="008222D2"/>
    <w:rsid w:val="00822B6E"/>
    <w:rsid w:val="00822D1C"/>
    <w:rsid w:val="00823D9A"/>
    <w:rsid w:val="00824193"/>
    <w:rsid w:val="0082453C"/>
    <w:rsid w:val="008274DD"/>
    <w:rsid w:val="00827D2C"/>
    <w:rsid w:val="00831F7A"/>
    <w:rsid w:val="008328D2"/>
    <w:rsid w:val="00833CC1"/>
    <w:rsid w:val="00834246"/>
    <w:rsid w:val="00834325"/>
    <w:rsid w:val="0083476E"/>
    <w:rsid w:val="00840E76"/>
    <w:rsid w:val="008418A8"/>
    <w:rsid w:val="00844D4F"/>
    <w:rsid w:val="00844F80"/>
    <w:rsid w:val="00845833"/>
    <w:rsid w:val="00847031"/>
    <w:rsid w:val="0084733C"/>
    <w:rsid w:val="00850AF2"/>
    <w:rsid w:val="00850DAA"/>
    <w:rsid w:val="0085146C"/>
    <w:rsid w:val="00851648"/>
    <w:rsid w:val="00852519"/>
    <w:rsid w:val="00852DB7"/>
    <w:rsid w:val="00856775"/>
    <w:rsid w:val="0085703E"/>
    <w:rsid w:val="0085796C"/>
    <w:rsid w:val="00857E1A"/>
    <w:rsid w:val="00857F47"/>
    <w:rsid w:val="0086129C"/>
    <w:rsid w:val="008616A9"/>
    <w:rsid w:val="0086478F"/>
    <w:rsid w:val="008659DC"/>
    <w:rsid w:val="00867004"/>
    <w:rsid w:val="00870354"/>
    <w:rsid w:val="00871CA5"/>
    <w:rsid w:val="008728F1"/>
    <w:rsid w:val="00874E5D"/>
    <w:rsid w:val="0087596D"/>
    <w:rsid w:val="00875D47"/>
    <w:rsid w:val="008767E5"/>
    <w:rsid w:val="008808A1"/>
    <w:rsid w:val="00882424"/>
    <w:rsid w:val="00886A30"/>
    <w:rsid w:val="00886A6A"/>
    <w:rsid w:val="0089300D"/>
    <w:rsid w:val="008A11DA"/>
    <w:rsid w:val="008A1475"/>
    <w:rsid w:val="008A4267"/>
    <w:rsid w:val="008A48EA"/>
    <w:rsid w:val="008A5552"/>
    <w:rsid w:val="008B3282"/>
    <w:rsid w:val="008B542A"/>
    <w:rsid w:val="008B6B6C"/>
    <w:rsid w:val="008B7153"/>
    <w:rsid w:val="008B726C"/>
    <w:rsid w:val="008C01B7"/>
    <w:rsid w:val="008C1D89"/>
    <w:rsid w:val="008C5684"/>
    <w:rsid w:val="008D19C5"/>
    <w:rsid w:val="008D1B53"/>
    <w:rsid w:val="008D39E2"/>
    <w:rsid w:val="008D40E3"/>
    <w:rsid w:val="008D4FF6"/>
    <w:rsid w:val="008D61D9"/>
    <w:rsid w:val="008D677C"/>
    <w:rsid w:val="008E0B90"/>
    <w:rsid w:val="008E7A44"/>
    <w:rsid w:val="008F0BED"/>
    <w:rsid w:val="008F2964"/>
    <w:rsid w:val="008F3932"/>
    <w:rsid w:val="008F7C4A"/>
    <w:rsid w:val="00904206"/>
    <w:rsid w:val="00906672"/>
    <w:rsid w:val="00910772"/>
    <w:rsid w:val="00911459"/>
    <w:rsid w:val="00912B23"/>
    <w:rsid w:val="00913F3F"/>
    <w:rsid w:val="00914806"/>
    <w:rsid w:val="00915645"/>
    <w:rsid w:val="00916351"/>
    <w:rsid w:val="00916676"/>
    <w:rsid w:val="0091779C"/>
    <w:rsid w:val="00920347"/>
    <w:rsid w:val="009207B2"/>
    <w:rsid w:val="00921459"/>
    <w:rsid w:val="00922DF8"/>
    <w:rsid w:val="00922F5A"/>
    <w:rsid w:val="00923670"/>
    <w:rsid w:val="00923F15"/>
    <w:rsid w:val="00924C08"/>
    <w:rsid w:val="0092576C"/>
    <w:rsid w:val="00932D8B"/>
    <w:rsid w:val="00934553"/>
    <w:rsid w:val="009379B8"/>
    <w:rsid w:val="00941F81"/>
    <w:rsid w:val="00942865"/>
    <w:rsid w:val="0094384C"/>
    <w:rsid w:val="00943E4A"/>
    <w:rsid w:val="00947843"/>
    <w:rsid w:val="00950808"/>
    <w:rsid w:val="009516A4"/>
    <w:rsid w:val="00952D1A"/>
    <w:rsid w:val="009545F5"/>
    <w:rsid w:val="009557F4"/>
    <w:rsid w:val="00955E39"/>
    <w:rsid w:val="00957B6D"/>
    <w:rsid w:val="00960314"/>
    <w:rsid w:val="00961FD1"/>
    <w:rsid w:val="009630F6"/>
    <w:rsid w:val="0096500A"/>
    <w:rsid w:val="00967996"/>
    <w:rsid w:val="00973155"/>
    <w:rsid w:val="00973BCA"/>
    <w:rsid w:val="00976140"/>
    <w:rsid w:val="00980297"/>
    <w:rsid w:val="00980D58"/>
    <w:rsid w:val="00981A2A"/>
    <w:rsid w:val="00981AA8"/>
    <w:rsid w:val="009828BD"/>
    <w:rsid w:val="00983641"/>
    <w:rsid w:val="00986D2E"/>
    <w:rsid w:val="0098712A"/>
    <w:rsid w:val="009910EE"/>
    <w:rsid w:val="00991B4D"/>
    <w:rsid w:val="00993593"/>
    <w:rsid w:val="00993771"/>
    <w:rsid w:val="00993B92"/>
    <w:rsid w:val="00993BFC"/>
    <w:rsid w:val="00994E64"/>
    <w:rsid w:val="00996ABC"/>
    <w:rsid w:val="00997AA0"/>
    <w:rsid w:val="009A1053"/>
    <w:rsid w:val="009A2A5F"/>
    <w:rsid w:val="009A6F10"/>
    <w:rsid w:val="009B09D9"/>
    <w:rsid w:val="009B1DF6"/>
    <w:rsid w:val="009B1EAE"/>
    <w:rsid w:val="009B1F9C"/>
    <w:rsid w:val="009C01A0"/>
    <w:rsid w:val="009C0962"/>
    <w:rsid w:val="009C1099"/>
    <w:rsid w:val="009C13A0"/>
    <w:rsid w:val="009C6928"/>
    <w:rsid w:val="009D001D"/>
    <w:rsid w:val="009D009D"/>
    <w:rsid w:val="009D0A5C"/>
    <w:rsid w:val="009D0AEF"/>
    <w:rsid w:val="009D0DCC"/>
    <w:rsid w:val="009D175B"/>
    <w:rsid w:val="009D1BE1"/>
    <w:rsid w:val="009D28E1"/>
    <w:rsid w:val="009D2C31"/>
    <w:rsid w:val="009D45DC"/>
    <w:rsid w:val="009E21CF"/>
    <w:rsid w:val="009E3D65"/>
    <w:rsid w:val="009E59AA"/>
    <w:rsid w:val="009F15F2"/>
    <w:rsid w:val="009F19B1"/>
    <w:rsid w:val="009F2D5B"/>
    <w:rsid w:val="009F5739"/>
    <w:rsid w:val="009F74E3"/>
    <w:rsid w:val="009F77C8"/>
    <w:rsid w:val="00A014F8"/>
    <w:rsid w:val="00A02987"/>
    <w:rsid w:val="00A05F05"/>
    <w:rsid w:val="00A10AE9"/>
    <w:rsid w:val="00A11EC4"/>
    <w:rsid w:val="00A123F7"/>
    <w:rsid w:val="00A151A9"/>
    <w:rsid w:val="00A2147B"/>
    <w:rsid w:val="00A21CD9"/>
    <w:rsid w:val="00A23294"/>
    <w:rsid w:val="00A23A05"/>
    <w:rsid w:val="00A305CD"/>
    <w:rsid w:val="00A307DA"/>
    <w:rsid w:val="00A31AE5"/>
    <w:rsid w:val="00A3202F"/>
    <w:rsid w:val="00A33D91"/>
    <w:rsid w:val="00A3487C"/>
    <w:rsid w:val="00A34AA3"/>
    <w:rsid w:val="00A37879"/>
    <w:rsid w:val="00A37F25"/>
    <w:rsid w:val="00A41854"/>
    <w:rsid w:val="00A4214C"/>
    <w:rsid w:val="00A42C20"/>
    <w:rsid w:val="00A4330F"/>
    <w:rsid w:val="00A44CEE"/>
    <w:rsid w:val="00A45169"/>
    <w:rsid w:val="00A46225"/>
    <w:rsid w:val="00A462DB"/>
    <w:rsid w:val="00A46990"/>
    <w:rsid w:val="00A5069F"/>
    <w:rsid w:val="00A53946"/>
    <w:rsid w:val="00A57A53"/>
    <w:rsid w:val="00A60D5F"/>
    <w:rsid w:val="00A62D67"/>
    <w:rsid w:val="00A639CF"/>
    <w:rsid w:val="00A63E07"/>
    <w:rsid w:val="00A666F2"/>
    <w:rsid w:val="00A71225"/>
    <w:rsid w:val="00A71694"/>
    <w:rsid w:val="00A7370C"/>
    <w:rsid w:val="00A7407E"/>
    <w:rsid w:val="00A7511E"/>
    <w:rsid w:val="00A81AB4"/>
    <w:rsid w:val="00A86AAC"/>
    <w:rsid w:val="00A86E93"/>
    <w:rsid w:val="00A90D47"/>
    <w:rsid w:val="00A90F94"/>
    <w:rsid w:val="00A956AF"/>
    <w:rsid w:val="00A96327"/>
    <w:rsid w:val="00AA1B34"/>
    <w:rsid w:val="00AA2FD7"/>
    <w:rsid w:val="00AA3FC1"/>
    <w:rsid w:val="00AA6527"/>
    <w:rsid w:val="00AA7878"/>
    <w:rsid w:val="00AA7DCE"/>
    <w:rsid w:val="00AB0F24"/>
    <w:rsid w:val="00AB33AD"/>
    <w:rsid w:val="00AB4E17"/>
    <w:rsid w:val="00AB7539"/>
    <w:rsid w:val="00AB7BEB"/>
    <w:rsid w:val="00AC17D8"/>
    <w:rsid w:val="00AC4D31"/>
    <w:rsid w:val="00AC599C"/>
    <w:rsid w:val="00AC59E1"/>
    <w:rsid w:val="00AC662C"/>
    <w:rsid w:val="00AC791E"/>
    <w:rsid w:val="00AD1FE6"/>
    <w:rsid w:val="00AD3CF5"/>
    <w:rsid w:val="00AD4419"/>
    <w:rsid w:val="00AE11EB"/>
    <w:rsid w:val="00AE30BA"/>
    <w:rsid w:val="00AE4163"/>
    <w:rsid w:val="00AE457C"/>
    <w:rsid w:val="00AE6F90"/>
    <w:rsid w:val="00AE7626"/>
    <w:rsid w:val="00AF066B"/>
    <w:rsid w:val="00AF12EC"/>
    <w:rsid w:val="00AF42F3"/>
    <w:rsid w:val="00B026FF"/>
    <w:rsid w:val="00B0577A"/>
    <w:rsid w:val="00B10751"/>
    <w:rsid w:val="00B10D99"/>
    <w:rsid w:val="00B11242"/>
    <w:rsid w:val="00B115E7"/>
    <w:rsid w:val="00B12616"/>
    <w:rsid w:val="00B1322C"/>
    <w:rsid w:val="00B13989"/>
    <w:rsid w:val="00B15E3D"/>
    <w:rsid w:val="00B1752F"/>
    <w:rsid w:val="00B17C48"/>
    <w:rsid w:val="00B17C97"/>
    <w:rsid w:val="00B21363"/>
    <w:rsid w:val="00B2458C"/>
    <w:rsid w:val="00B24F6C"/>
    <w:rsid w:val="00B2535E"/>
    <w:rsid w:val="00B25EF0"/>
    <w:rsid w:val="00B2657A"/>
    <w:rsid w:val="00B26758"/>
    <w:rsid w:val="00B30236"/>
    <w:rsid w:val="00B32550"/>
    <w:rsid w:val="00B32744"/>
    <w:rsid w:val="00B34D11"/>
    <w:rsid w:val="00B35950"/>
    <w:rsid w:val="00B371E9"/>
    <w:rsid w:val="00B403B7"/>
    <w:rsid w:val="00B414A0"/>
    <w:rsid w:val="00B41A64"/>
    <w:rsid w:val="00B42CBC"/>
    <w:rsid w:val="00B444F7"/>
    <w:rsid w:val="00B445BE"/>
    <w:rsid w:val="00B46768"/>
    <w:rsid w:val="00B5001B"/>
    <w:rsid w:val="00B53745"/>
    <w:rsid w:val="00B57263"/>
    <w:rsid w:val="00B57443"/>
    <w:rsid w:val="00B57ECE"/>
    <w:rsid w:val="00B61757"/>
    <w:rsid w:val="00B624D5"/>
    <w:rsid w:val="00B653B7"/>
    <w:rsid w:val="00B65CD1"/>
    <w:rsid w:val="00B7048B"/>
    <w:rsid w:val="00B70D52"/>
    <w:rsid w:val="00B74282"/>
    <w:rsid w:val="00B807F1"/>
    <w:rsid w:val="00B85D00"/>
    <w:rsid w:val="00B86602"/>
    <w:rsid w:val="00B86DDF"/>
    <w:rsid w:val="00B87B10"/>
    <w:rsid w:val="00B901F8"/>
    <w:rsid w:val="00B91E72"/>
    <w:rsid w:val="00B93EB6"/>
    <w:rsid w:val="00B95A2A"/>
    <w:rsid w:val="00B95DB9"/>
    <w:rsid w:val="00B96934"/>
    <w:rsid w:val="00B96CCF"/>
    <w:rsid w:val="00BA0813"/>
    <w:rsid w:val="00BA3B24"/>
    <w:rsid w:val="00BA3BDC"/>
    <w:rsid w:val="00BA6A98"/>
    <w:rsid w:val="00BA7D81"/>
    <w:rsid w:val="00BB19AB"/>
    <w:rsid w:val="00BB1F04"/>
    <w:rsid w:val="00BB2E1F"/>
    <w:rsid w:val="00BB62DE"/>
    <w:rsid w:val="00BC006D"/>
    <w:rsid w:val="00BC0FD4"/>
    <w:rsid w:val="00BC14C4"/>
    <w:rsid w:val="00BC242B"/>
    <w:rsid w:val="00BC42E1"/>
    <w:rsid w:val="00BC5DB1"/>
    <w:rsid w:val="00BD0981"/>
    <w:rsid w:val="00BD0E51"/>
    <w:rsid w:val="00BD0F2E"/>
    <w:rsid w:val="00BD4138"/>
    <w:rsid w:val="00BD417E"/>
    <w:rsid w:val="00BD42BA"/>
    <w:rsid w:val="00BD7A30"/>
    <w:rsid w:val="00BE26DE"/>
    <w:rsid w:val="00BE3262"/>
    <w:rsid w:val="00BE5DC5"/>
    <w:rsid w:val="00BE7996"/>
    <w:rsid w:val="00BF336F"/>
    <w:rsid w:val="00BF3EA5"/>
    <w:rsid w:val="00BF6CB1"/>
    <w:rsid w:val="00BF72BA"/>
    <w:rsid w:val="00BF7CFF"/>
    <w:rsid w:val="00C003D5"/>
    <w:rsid w:val="00C03285"/>
    <w:rsid w:val="00C0387B"/>
    <w:rsid w:val="00C0427B"/>
    <w:rsid w:val="00C059C4"/>
    <w:rsid w:val="00C067AE"/>
    <w:rsid w:val="00C071F1"/>
    <w:rsid w:val="00C1062C"/>
    <w:rsid w:val="00C10BD3"/>
    <w:rsid w:val="00C111C1"/>
    <w:rsid w:val="00C1260E"/>
    <w:rsid w:val="00C12E65"/>
    <w:rsid w:val="00C1340B"/>
    <w:rsid w:val="00C14C26"/>
    <w:rsid w:val="00C15099"/>
    <w:rsid w:val="00C1665B"/>
    <w:rsid w:val="00C208BF"/>
    <w:rsid w:val="00C20C0D"/>
    <w:rsid w:val="00C21D5B"/>
    <w:rsid w:val="00C22214"/>
    <w:rsid w:val="00C26566"/>
    <w:rsid w:val="00C270FD"/>
    <w:rsid w:val="00C31415"/>
    <w:rsid w:val="00C31A82"/>
    <w:rsid w:val="00C31B0D"/>
    <w:rsid w:val="00C31EDF"/>
    <w:rsid w:val="00C3217F"/>
    <w:rsid w:val="00C32CA5"/>
    <w:rsid w:val="00C34A2E"/>
    <w:rsid w:val="00C3504C"/>
    <w:rsid w:val="00C3571B"/>
    <w:rsid w:val="00C361DB"/>
    <w:rsid w:val="00C413F6"/>
    <w:rsid w:val="00C47555"/>
    <w:rsid w:val="00C47BC2"/>
    <w:rsid w:val="00C509B8"/>
    <w:rsid w:val="00C517C1"/>
    <w:rsid w:val="00C52813"/>
    <w:rsid w:val="00C5412F"/>
    <w:rsid w:val="00C54619"/>
    <w:rsid w:val="00C54879"/>
    <w:rsid w:val="00C564CB"/>
    <w:rsid w:val="00C579C3"/>
    <w:rsid w:val="00C60B52"/>
    <w:rsid w:val="00C62954"/>
    <w:rsid w:val="00C6340B"/>
    <w:rsid w:val="00C638B6"/>
    <w:rsid w:val="00C63F60"/>
    <w:rsid w:val="00C64756"/>
    <w:rsid w:val="00C736D6"/>
    <w:rsid w:val="00C737BD"/>
    <w:rsid w:val="00C74610"/>
    <w:rsid w:val="00C7530F"/>
    <w:rsid w:val="00C757E1"/>
    <w:rsid w:val="00C76B64"/>
    <w:rsid w:val="00C809E2"/>
    <w:rsid w:val="00C80DA3"/>
    <w:rsid w:val="00C81325"/>
    <w:rsid w:val="00C81F56"/>
    <w:rsid w:val="00C8259B"/>
    <w:rsid w:val="00C83AE8"/>
    <w:rsid w:val="00C84B1E"/>
    <w:rsid w:val="00C85AEB"/>
    <w:rsid w:val="00C92CEB"/>
    <w:rsid w:val="00C92F2C"/>
    <w:rsid w:val="00C94251"/>
    <w:rsid w:val="00C96D5B"/>
    <w:rsid w:val="00C975B2"/>
    <w:rsid w:val="00CA1ACC"/>
    <w:rsid w:val="00CA1C67"/>
    <w:rsid w:val="00CA2036"/>
    <w:rsid w:val="00CA43F8"/>
    <w:rsid w:val="00CA4E0D"/>
    <w:rsid w:val="00CA632B"/>
    <w:rsid w:val="00CA6B4B"/>
    <w:rsid w:val="00CA7000"/>
    <w:rsid w:val="00CA7404"/>
    <w:rsid w:val="00CB036C"/>
    <w:rsid w:val="00CB1250"/>
    <w:rsid w:val="00CB144F"/>
    <w:rsid w:val="00CB21C8"/>
    <w:rsid w:val="00CB5622"/>
    <w:rsid w:val="00CB5800"/>
    <w:rsid w:val="00CB7F53"/>
    <w:rsid w:val="00CC0BAB"/>
    <w:rsid w:val="00CC1F6E"/>
    <w:rsid w:val="00CC4D6A"/>
    <w:rsid w:val="00CC587E"/>
    <w:rsid w:val="00CD09E6"/>
    <w:rsid w:val="00CD100A"/>
    <w:rsid w:val="00CD35E0"/>
    <w:rsid w:val="00CD3894"/>
    <w:rsid w:val="00CD40D3"/>
    <w:rsid w:val="00CE2EDA"/>
    <w:rsid w:val="00CE670D"/>
    <w:rsid w:val="00CF024C"/>
    <w:rsid w:val="00CF0A7D"/>
    <w:rsid w:val="00CF1AF7"/>
    <w:rsid w:val="00CF36DF"/>
    <w:rsid w:val="00D02B06"/>
    <w:rsid w:val="00D0334D"/>
    <w:rsid w:val="00D0347F"/>
    <w:rsid w:val="00D03528"/>
    <w:rsid w:val="00D04174"/>
    <w:rsid w:val="00D04185"/>
    <w:rsid w:val="00D04F00"/>
    <w:rsid w:val="00D06305"/>
    <w:rsid w:val="00D115B0"/>
    <w:rsid w:val="00D11C90"/>
    <w:rsid w:val="00D12122"/>
    <w:rsid w:val="00D121B7"/>
    <w:rsid w:val="00D150E1"/>
    <w:rsid w:val="00D158B5"/>
    <w:rsid w:val="00D162FF"/>
    <w:rsid w:val="00D2045C"/>
    <w:rsid w:val="00D20D38"/>
    <w:rsid w:val="00D21015"/>
    <w:rsid w:val="00D219C2"/>
    <w:rsid w:val="00D2392F"/>
    <w:rsid w:val="00D254CB"/>
    <w:rsid w:val="00D26208"/>
    <w:rsid w:val="00D27E07"/>
    <w:rsid w:val="00D30251"/>
    <w:rsid w:val="00D3202C"/>
    <w:rsid w:val="00D344F9"/>
    <w:rsid w:val="00D356E5"/>
    <w:rsid w:val="00D40D0E"/>
    <w:rsid w:val="00D44042"/>
    <w:rsid w:val="00D44C07"/>
    <w:rsid w:val="00D47B01"/>
    <w:rsid w:val="00D555BB"/>
    <w:rsid w:val="00D55778"/>
    <w:rsid w:val="00D574EE"/>
    <w:rsid w:val="00D600F1"/>
    <w:rsid w:val="00D63AB2"/>
    <w:rsid w:val="00D63D02"/>
    <w:rsid w:val="00D662E2"/>
    <w:rsid w:val="00D677AF"/>
    <w:rsid w:val="00D70692"/>
    <w:rsid w:val="00D715FB"/>
    <w:rsid w:val="00D72089"/>
    <w:rsid w:val="00D72673"/>
    <w:rsid w:val="00D726E1"/>
    <w:rsid w:val="00D73544"/>
    <w:rsid w:val="00D75078"/>
    <w:rsid w:val="00D77644"/>
    <w:rsid w:val="00D81611"/>
    <w:rsid w:val="00D8177A"/>
    <w:rsid w:val="00D81DF0"/>
    <w:rsid w:val="00D85701"/>
    <w:rsid w:val="00D87612"/>
    <w:rsid w:val="00D90430"/>
    <w:rsid w:val="00D915D8"/>
    <w:rsid w:val="00DA19D6"/>
    <w:rsid w:val="00DA1A79"/>
    <w:rsid w:val="00DA27C8"/>
    <w:rsid w:val="00DA3D13"/>
    <w:rsid w:val="00DA4378"/>
    <w:rsid w:val="00DA446A"/>
    <w:rsid w:val="00DA7C0F"/>
    <w:rsid w:val="00DA7D62"/>
    <w:rsid w:val="00DB122B"/>
    <w:rsid w:val="00DB13E0"/>
    <w:rsid w:val="00DB1745"/>
    <w:rsid w:val="00DB6847"/>
    <w:rsid w:val="00DB6A62"/>
    <w:rsid w:val="00DB75B4"/>
    <w:rsid w:val="00DC1F6B"/>
    <w:rsid w:val="00DC4116"/>
    <w:rsid w:val="00DC5455"/>
    <w:rsid w:val="00DC7FD8"/>
    <w:rsid w:val="00DD0432"/>
    <w:rsid w:val="00DD0713"/>
    <w:rsid w:val="00DD33AD"/>
    <w:rsid w:val="00DD34ED"/>
    <w:rsid w:val="00DD62D9"/>
    <w:rsid w:val="00DD7305"/>
    <w:rsid w:val="00DE07B0"/>
    <w:rsid w:val="00DE2349"/>
    <w:rsid w:val="00DE59FC"/>
    <w:rsid w:val="00DE7076"/>
    <w:rsid w:val="00DE7D95"/>
    <w:rsid w:val="00DF29DB"/>
    <w:rsid w:val="00DF44C4"/>
    <w:rsid w:val="00DF7668"/>
    <w:rsid w:val="00E014CE"/>
    <w:rsid w:val="00E03EDC"/>
    <w:rsid w:val="00E052E3"/>
    <w:rsid w:val="00E06278"/>
    <w:rsid w:val="00E07B09"/>
    <w:rsid w:val="00E1033F"/>
    <w:rsid w:val="00E10CBA"/>
    <w:rsid w:val="00E13088"/>
    <w:rsid w:val="00E154BD"/>
    <w:rsid w:val="00E166D5"/>
    <w:rsid w:val="00E2019E"/>
    <w:rsid w:val="00E22A97"/>
    <w:rsid w:val="00E274F0"/>
    <w:rsid w:val="00E3099E"/>
    <w:rsid w:val="00E32838"/>
    <w:rsid w:val="00E336C0"/>
    <w:rsid w:val="00E34CEF"/>
    <w:rsid w:val="00E35E9D"/>
    <w:rsid w:val="00E413B2"/>
    <w:rsid w:val="00E43037"/>
    <w:rsid w:val="00E43735"/>
    <w:rsid w:val="00E442F0"/>
    <w:rsid w:val="00E45253"/>
    <w:rsid w:val="00E46D3E"/>
    <w:rsid w:val="00E46DF4"/>
    <w:rsid w:val="00E5312C"/>
    <w:rsid w:val="00E5552D"/>
    <w:rsid w:val="00E55C04"/>
    <w:rsid w:val="00E60B44"/>
    <w:rsid w:val="00E60FF5"/>
    <w:rsid w:val="00E6331B"/>
    <w:rsid w:val="00E64DD7"/>
    <w:rsid w:val="00E67AB1"/>
    <w:rsid w:val="00E747D2"/>
    <w:rsid w:val="00E76DD2"/>
    <w:rsid w:val="00E80153"/>
    <w:rsid w:val="00E85291"/>
    <w:rsid w:val="00E90299"/>
    <w:rsid w:val="00EA0684"/>
    <w:rsid w:val="00EA3823"/>
    <w:rsid w:val="00EA705A"/>
    <w:rsid w:val="00EB16A2"/>
    <w:rsid w:val="00EB685C"/>
    <w:rsid w:val="00EB7DE9"/>
    <w:rsid w:val="00EC46C6"/>
    <w:rsid w:val="00EC5482"/>
    <w:rsid w:val="00EC5B16"/>
    <w:rsid w:val="00EC5D52"/>
    <w:rsid w:val="00ED1BC8"/>
    <w:rsid w:val="00ED1F77"/>
    <w:rsid w:val="00ED27F5"/>
    <w:rsid w:val="00ED4BA1"/>
    <w:rsid w:val="00ED52B6"/>
    <w:rsid w:val="00ED611F"/>
    <w:rsid w:val="00ED784B"/>
    <w:rsid w:val="00ED7DF0"/>
    <w:rsid w:val="00EE185A"/>
    <w:rsid w:val="00EE3B34"/>
    <w:rsid w:val="00EE4772"/>
    <w:rsid w:val="00EE4FA1"/>
    <w:rsid w:val="00EE5B94"/>
    <w:rsid w:val="00EF05D3"/>
    <w:rsid w:val="00EF0DB2"/>
    <w:rsid w:val="00EF0F67"/>
    <w:rsid w:val="00EF1602"/>
    <w:rsid w:val="00EF7B0C"/>
    <w:rsid w:val="00F003D2"/>
    <w:rsid w:val="00F01ACF"/>
    <w:rsid w:val="00F01E76"/>
    <w:rsid w:val="00F039CE"/>
    <w:rsid w:val="00F10E55"/>
    <w:rsid w:val="00F1364A"/>
    <w:rsid w:val="00F17995"/>
    <w:rsid w:val="00F203ED"/>
    <w:rsid w:val="00F2226E"/>
    <w:rsid w:val="00F23051"/>
    <w:rsid w:val="00F309B1"/>
    <w:rsid w:val="00F31CF7"/>
    <w:rsid w:val="00F32A09"/>
    <w:rsid w:val="00F340E1"/>
    <w:rsid w:val="00F34F7D"/>
    <w:rsid w:val="00F36ECC"/>
    <w:rsid w:val="00F377C7"/>
    <w:rsid w:val="00F37EC4"/>
    <w:rsid w:val="00F40F2F"/>
    <w:rsid w:val="00F50C1A"/>
    <w:rsid w:val="00F53FB1"/>
    <w:rsid w:val="00F558F0"/>
    <w:rsid w:val="00F57498"/>
    <w:rsid w:val="00F60DB9"/>
    <w:rsid w:val="00F62D06"/>
    <w:rsid w:val="00F643C3"/>
    <w:rsid w:val="00F646DA"/>
    <w:rsid w:val="00F74972"/>
    <w:rsid w:val="00F7534E"/>
    <w:rsid w:val="00F77AA1"/>
    <w:rsid w:val="00F83416"/>
    <w:rsid w:val="00F8546F"/>
    <w:rsid w:val="00F86CCC"/>
    <w:rsid w:val="00F8793A"/>
    <w:rsid w:val="00F907B0"/>
    <w:rsid w:val="00F90DC3"/>
    <w:rsid w:val="00F93A38"/>
    <w:rsid w:val="00F93BB1"/>
    <w:rsid w:val="00F93C94"/>
    <w:rsid w:val="00F950F6"/>
    <w:rsid w:val="00F95231"/>
    <w:rsid w:val="00F966E8"/>
    <w:rsid w:val="00F96AB0"/>
    <w:rsid w:val="00FA14FB"/>
    <w:rsid w:val="00FA2448"/>
    <w:rsid w:val="00FA2DCD"/>
    <w:rsid w:val="00FA5F38"/>
    <w:rsid w:val="00FA6A5E"/>
    <w:rsid w:val="00FA7B8D"/>
    <w:rsid w:val="00FB3451"/>
    <w:rsid w:val="00FB4722"/>
    <w:rsid w:val="00FB4A01"/>
    <w:rsid w:val="00FB6DB3"/>
    <w:rsid w:val="00FB705F"/>
    <w:rsid w:val="00FC3B06"/>
    <w:rsid w:val="00FC6A5C"/>
    <w:rsid w:val="00FC7FD7"/>
    <w:rsid w:val="00FD0886"/>
    <w:rsid w:val="00FD1A26"/>
    <w:rsid w:val="00FD27DF"/>
    <w:rsid w:val="00FD2875"/>
    <w:rsid w:val="00FD4DC5"/>
    <w:rsid w:val="00FD69C2"/>
    <w:rsid w:val="00FE234F"/>
    <w:rsid w:val="00FE664F"/>
    <w:rsid w:val="00FE70EA"/>
    <w:rsid w:val="00FF0D82"/>
    <w:rsid w:val="00FF145C"/>
    <w:rsid w:val="00FF2C9C"/>
    <w:rsid w:val="00FF60FE"/>
    <w:rsid w:val="00FF6B3D"/>
    <w:rsid w:val="02000E8A"/>
  </w:rsids>
  <m:mathPr>
    <m:mathFont m:val="Cambria Math"/>
    <m:brkBin m:val="before"/>
    <m:brkBinSub m:val="--"/>
    <m:smallFrac m:val="0"/>
    <m:dispDef m:val="0"/>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19BF9A7C"/>
  <w15:docId w15:val="{0EEAFD08-DC94-4705-B97F-C6BDCA6D07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06049"/>
    <w:pPr>
      <w:spacing w:after="240"/>
    </w:pPr>
    <w:rPr>
      <w:rFonts w:ascii="Calibri" w:hAnsi="Calibri"/>
      <w:sz w:val="21"/>
    </w:rPr>
  </w:style>
  <w:style w:type="paragraph" w:styleId="Heading1">
    <w:name w:val="heading 1"/>
    <w:next w:val="Bodytext"/>
    <w:link w:val="Heading1Char"/>
    <w:uiPriority w:val="9"/>
    <w:qFormat/>
    <w:rsid w:val="0074546C"/>
    <w:pPr>
      <w:pageBreakBefore/>
      <w:numPr>
        <w:numId w:val="9"/>
      </w:numPr>
      <w:spacing w:before="600" w:after="600"/>
      <w:jc w:val="right"/>
      <w:outlineLvl w:val="0"/>
    </w:pPr>
    <w:rPr>
      <w:rFonts w:ascii="Trebuchet MS" w:hAnsi="Trebuchet MS"/>
      <w:caps/>
      <w:color w:val="FFFFFF" w:themeColor="background1"/>
      <w:sz w:val="40"/>
      <w:szCs w:val="40"/>
    </w:rPr>
  </w:style>
  <w:style w:type="paragraph" w:styleId="Heading2">
    <w:name w:val="heading 2"/>
    <w:basedOn w:val="Normal"/>
    <w:next w:val="Normal"/>
    <w:link w:val="Heading2Char"/>
    <w:uiPriority w:val="9"/>
    <w:unhideWhenUsed/>
    <w:qFormat/>
    <w:rsid w:val="009516A4"/>
    <w:pPr>
      <w:keepNext/>
      <w:keepLines/>
      <w:numPr>
        <w:numId w:val="8"/>
      </w:numPr>
      <w:spacing w:before="300" w:after="300"/>
      <w:outlineLvl w:val="1"/>
    </w:pPr>
    <w:rPr>
      <w:rFonts w:ascii="Trebuchet MS" w:eastAsiaTheme="majorEastAsia" w:hAnsi="Trebuchet MS" w:cstheme="majorBidi"/>
      <w:caps/>
      <w:color w:val="004B91" w:themeColor="accent2"/>
      <w:sz w:val="32"/>
      <w:szCs w:val="32"/>
    </w:rPr>
  </w:style>
  <w:style w:type="paragraph" w:styleId="Heading3">
    <w:name w:val="heading 3"/>
    <w:next w:val="Normal"/>
    <w:link w:val="Heading3Char"/>
    <w:uiPriority w:val="9"/>
    <w:unhideWhenUsed/>
    <w:qFormat/>
    <w:rsid w:val="00BD417E"/>
    <w:pPr>
      <w:spacing w:before="300" w:after="300"/>
      <w:outlineLvl w:val="2"/>
    </w:pPr>
    <w:rPr>
      <w:rFonts w:ascii="Trebuchet MS" w:eastAsiaTheme="majorEastAsia" w:hAnsi="Trebuchet MS" w:cstheme="majorBidi"/>
      <w:caps/>
      <w:color w:val="056CB6" w:themeColor="accent3"/>
      <w:sz w:val="28"/>
      <w:szCs w:val="28"/>
    </w:rPr>
  </w:style>
  <w:style w:type="paragraph" w:styleId="Heading4">
    <w:name w:val="heading 4"/>
    <w:next w:val="Normal"/>
    <w:link w:val="Heading4Char"/>
    <w:uiPriority w:val="9"/>
    <w:unhideWhenUsed/>
    <w:qFormat/>
    <w:rsid w:val="00BD417E"/>
    <w:pPr>
      <w:spacing w:before="300" w:after="300"/>
      <w:outlineLvl w:val="3"/>
    </w:pPr>
    <w:rPr>
      <w:rFonts w:ascii="Trebuchet MS" w:eastAsiaTheme="majorEastAsia" w:hAnsi="Trebuchet MS" w:cstheme="majorBidi"/>
      <w:b/>
      <w:caps/>
      <w:color w:val="4D4D4D"/>
    </w:rPr>
  </w:style>
  <w:style w:type="paragraph" w:styleId="Heading5">
    <w:name w:val="heading 5"/>
    <w:basedOn w:val="Normal"/>
    <w:next w:val="Normal"/>
    <w:link w:val="Heading5Char"/>
    <w:uiPriority w:val="9"/>
    <w:unhideWhenUsed/>
    <w:qFormat/>
    <w:rsid w:val="006912E1"/>
    <w:pPr>
      <w:keepNext/>
      <w:keepLines/>
      <w:spacing w:before="40"/>
      <w:outlineLvl w:val="4"/>
    </w:pPr>
    <w:rPr>
      <w:rFonts w:asciiTheme="majorHAnsi" w:eastAsiaTheme="majorEastAsia" w:hAnsiTheme="majorHAnsi" w:cstheme="majorBidi"/>
      <w:color w:val="00224B"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1Head">
    <w:name w:val="01 Head"/>
    <w:basedOn w:val="Normal"/>
    <w:next w:val="BalloonText"/>
    <w:qFormat/>
    <w:rsid w:val="00075042"/>
    <w:pPr>
      <w:spacing w:before="360" w:after="360"/>
    </w:pPr>
    <w:rPr>
      <w:color w:val="FF0000"/>
      <w:sz w:val="36"/>
    </w:rPr>
  </w:style>
  <w:style w:type="paragraph" w:styleId="BalloonText">
    <w:name w:val="Balloon Text"/>
    <w:basedOn w:val="Normal"/>
    <w:link w:val="BalloonTextChar"/>
    <w:uiPriority w:val="99"/>
    <w:semiHidden/>
    <w:unhideWhenUsed/>
    <w:rsid w:val="00075042"/>
    <w:rPr>
      <w:rFonts w:ascii="Lucida Grande" w:hAnsi="Lucida Grande"/>
      <w:sz w:val="18"/>
      <w:szCs w:val="18"/>
    </w:rPr>
  </w:style>
  <w:style w:type="character" w:customStyle="1" w:styleId="BalloonTextChar">
    <w:name w:val="Balloon Text Char"/>
    <w:basedOn w:val="DefaultParagraphFont"/>
    <w:link w:val="BalloonText"/>
    <w:uiPriority w:val="99"/>
    <w:semiHidden/>
    <w:rsid w:val="00075042"/>
    <w:rPr>
      <w:rFonts w:ascii="Lucida Grande" w:hAnsi="Lucida Grande"/>
      <w:sz w:val="18"/>
      <w:szCs w:val="18"/>
    </w:rPr>
  </w:style>
  <w:style w:type="paragraph" w:styleId="Header">
    <w:name w:val="header"/>
    <w:basedOn w:val="Normal"/>
    <w:link w:val="HeaderChar"/>
    <w:uiPriority w:val="99"/>
    <w:unhideWhenUsed/>
    <w:rsid w:val="000A4B3D"/>
    <w:pPr>
      <w:tabs>
        <w:tab w:val="center" w:pos="4320"/>
        <w:tab w:val="right" w:pos="8640"/>
      </w:tabs>
    </w:pPr>
  </w:style>
  <w:style w:type="character" w:customStyle="1" w:styleId="HeaderChar">
    <w:name w:val="Header Char"/>
    <w:basedOn w:val="DefaultParagraphFont"/>
    <w:link w:val="Header"/>
    <w:uiPriority w:val="99"/>
    <w:rsid w:val="000A4B3D"/>
  </w:style>
  <w:style w:type="paragraph" w:styleId="Footer">
    <w:name w:val="footer"/>
    <w:basedOn w:val="Normal"/>
    <w:link w:val="FooterChar"/>
    <w:uiPriority w:val="99"/>
    <w:unhideWhenUsed/>
    <w:rsid w:val="000A4B3D"/>
    <w:pPr>
      <w:tabs>
        <w:tab w:val="center" w:pos="4320"/>
        <w:tab w:val="right" w:pos="8640"/>
      </w:tabs>
    </w:pPr>
  </w:style>
  <w:style w:type="character" w:customStyle="1" w:styleId="FooterChar">
    <w:name w:val="Footer Char"/>
    <w:basedOn w:val="DefaultParagraphFont"/>
    <w:link w:val="Footer"/>
    <w:uiPriority w:val="99"/>
    <w:rsid w:val="000A4B3D"/>
  </w:style>
  <w:style w:type="paragraph" w:styleId="Revision">
    <w:name w:val="Revision"/>
    <w:hidden/>
    <w:uiPriority w:val="99"/>
    <w:semiHidden/>
    <w:rsid w:val="00E442F0"/>
  </w:style>
  <w:style w:type="paragraph" w:customStyle="1" w:styleId="ARPCFooter">
    <w:name w:val="ARPC Footer"/>
    <w:basedOn w:val="Normal"/>
    <w:qFormat/>
    <w:rsid w:val="00B96934"/>
    <w:pPr>
      <w:widowControl w:val="0"/>
      <w:tabs>
        <w:tab w:val="left" w:pos="2560"/>
      </w:tabs>
      <w:autoSpaceDE w:val="0"/>
      <w:autoSpaceDN w:val="0"/>
      <w:adjustRightInd w:val="0"/>
      <w:spacing w:line="288" w:lineRule="auto"/>
      <w:ind w:right="231"/>
      <w:jc w:val="right"/>
      <w:textAlignment w:val="center"/>
    </w:pPr>
    <w:rPr>
      <w:rFonts w:ascii="Calibri-Light" w:hAnsi="Calibri-Light" w:cs="Calibri-Light"/>
      <w:color w:val="404040" w:themeColor="text1" w:themeTint="BF"/>
      <w:spacing w:val="16"/>
      <w:sz w:val="16"/>
      <w:szCs w:val="20"/>
      <w:lang w:val="en-GB"/>
    </w:rPr>
  </w:style>
  <w:style w:type="character" w:customStyle="1" w:styleId="ARPCFooterBold">
    <w:name w:val="ARPC Footer Bold"/>
    <w:basedOn w:val="DefaultParagraphFont"/>
    <w:uiPriority w:val="1"/>
    <w:qFormat/>
    <w:rsid w:val="00B96934"/>
    <w:rPr>
      <w:rFonts w:ascii="Calibri" w:hAnsi="Calibri"/>
      <w:b/>
      <w:i w:val="0"/>
      <w:sz w:val="16"/>
    </w:rPr>
  </w:style>
  <w:style w:type="character" w:styleId="PageNumber">
    <w:name w:val="page number"/>
    <w:basedOn w:val="DefaultParagraphFont"/>
    <w:uiPriority w:val="99"/>
    <w:semiHidden/>
    <w:unhideWhenUsed/>
    <w:rsid w:val="00B96934"/>
  </w:style>
  <w:style w:type="paragraph" w:styleId="NormalWeb">
    <w:name w:val="Normal (Web)"/>
    <w:basedOn w:val="Normal"/>
    <w:uiPriority w:val="99"/>
    <w:semiHidden/>
    <w:unhideWhenUsed/>
    <w:rsid w:val="006B721C"/>
    <w:pPr>
      <w:spacing w:before="100" w:beforeAutospacing="1" w:after="100" w:afterAutospacing="1"/>
    </w:pPr>
    <w:rPr>
      <w:rFonts w:ascii="Times New Roman" w:hAnsi="Times New Roman" w:cs="Times New Roman"/>
      <w:sz w:val="20"/>
      <w:szCs w:val="20"/>
    </w:rPr>
  </w:style>
  <w:style w:type="character" w:customStyle="1" w:styleId="Heading1Char">
    <w:name w:val="Heading 1 Char"/>
    <w:basedOn w:val="DefaultParagraphFont"/>
    <w:link w:val="Heading1"/>
    <w:uiPriority w:val="9"/>
    <w:rsid w:val="0074546C"/>
    <w:rPr>
      <w:rFonts w:ascii="Trebuchet MS" w:hAnsi="Trebuchet MS"/>
      <w:caps/>
      <w:color w:val="FFFFFF" w:themeColor="background1"/>
      <w:sz w:val="40"/>
      <w:szCs w:val="40"/>
    </w:rPr>
  </w:style>
  <w:style w:type="character" w:customStyle="1" w:styleId="Heading2Char">
    <w:name w:val="Heading 2 Char"/>
    <w:basedOn w:val="DefaultParagraphFont"/>
    <w:link w:val="Heading2"/>
    <w:uiPriority w:val="9"/>
    <w:rsid w:val="009516A4"/>
    <w:rPr>
      <w:rFonts w:ascii="Trebuchet MS" w:eastAsiaTheme="majorEastAsia" w:hAnsi="Trebuchet MS" w:cstheme="majorBidi"/>
      <w:caps/>
      <w:color w:val="004B91" w:themeColor="accent2"/>
      <w:sz w:val="32"/>
      <w:szCs w:val="32"/>
    </w:rPr>
  </w:style>
  <w:style w:type="paragraph" w:customStyle="1" w:styleId="Bodytext">
    <w:name w:val="Body_text"/>
    <w:qFormat/>
    <w:rsid w:val="00295398"/>
    <w:pPr>
      <w:shd w:val="clear" w:color="auto" w:fill="FFFFFF"/>
      <w:spacing w:before="240" w:after="240"/>
    </w:pPr>
    <w:rPr>
      <w:rFonts w:ascii="Calibri" w:hAnsi="Calibri" w:cs="Times New Roman"/>
      <w:color w:val="000000"/>
      <w:sz w:val="21"/>
      <w:szCs w:val="21"/>
    </w:rPr>
  </w:style>
  <w:style w:type="character" w:customStyle="1" w:styleId="Heading4Char">
    <w:name w:val="Heading 4 Char"/>
    <w:basedOn w:val="DefaultParagraphFont"/>
    <w:link w:val="Heading4"/>
    <w:uiPriority w:val="9"/>
    <w:rsid w:val="00BD417E"/>
    <w:rPr>
      <w:rFonts w:ascii="Trebuchet MS" w:eastAsiaTheme="majorEastAsia" w:hAnsi="Trebuchet MS" w:cstheme="majorBidi"/>
      <w:b/>
      <w:caps/>
      <w:color w:val="4D4D4D"/>
    </w:rPr>
  </w:style>
  <w:style w:type="character" w:customStyle="1" w:styleId="Heading3Char">
    <w:name w:val="Heading 3 Char"/>
    <w:basedOn w:val="DefaultParagraphFont"/>
    <w:link w:val="Heading3"/>
    <w:uiPriority w:val="9"/>
    <w:rsid w:val="00BD417E"/>
    <w:rPr>
      <w:rFonts w:ascii="Trebuchet MS" w:eastAsiaTheme="majorEastAsia" w:hAnsi="Trebuchet MS" w:cstheme="majorBidi"/>
      <w:caps/>
      <w:color w:val="056CB6" w:themeColor="accent3"/>
      <w:sz w:val="28"/>
      <w:szCs w:val="28"/>
    </w:rPr>
  </w:style>
  <w:style w:type="character" w:customStyle="1" w:styleId="Heading5Char">
    <w:name w:val="Heading 5 Char"/>
    <w:basedOn w:val="DefaultParagraphFont"/>
    <w:link w:val="Heading5"/>
    <w:uiPriority w:val="9"/>
    <w:rsid w:val="006912E1"/>
    <w:rPr>
      <w:rFonts w:asciiTheme="majorHAnsi" w:eastAsiaTheme="majorEastAsia" w:hAnsiTheme="majorHAnsi" w:cstheme="majorBidi"/>
      <w:color w:val="00224B" w:themeColor="accent1" w:themeShade="BF"/>
    </w:rPr>
  </w:style>
  <w:style w:type="paragraph" w:customStyle="1" w:styleId="SectionTitle">
    <w:name w:val="Section Title"/>
    <w:basedOn w:val="TitlePage"/>
    <w:qFormat/>
    <w:rsid w:val="00032C16"/>
    <w:pPr>
      <w:spacing w:before="10560"/>
    </w:pPr>
  </w:style>
  <w:style w:type="paragraph" w:customStyle="1" w:styleId="BodyText1">
    <w:name w:val="Body Text1"/>
    <w:basedOn w:val="Normal"/>
    <w:link w:val="BodytextChar"/>
    <w:rsid w:val="006912E1"/>
    <w:pPr>
      <w:spacing w:before="120" w:after="60" w:line="240" w:lineRule="atLeast"/>
    </w:pPr>
    <w:rPr>
      <w:rFonts w:eastAsia="Times New Roman" w:cs="Times New Roman"/>
      <w:color w:val="000000" w:themeColor="text1"/>
      <w:sz w:val="20"/>
    </w:rPr>
  </w:style>
  <w:style w:type="character" w:customStyle="1" w:styleId="BodytextChar">
    <w:name w:val="Body text Char"/>
    <w:basedOn w:val="DefaultParagraphFont"/>
    <w:link w:val="BodyText1"/>
    <w:rsid w:val="006912E1"/>
    <w:rPr>
      <w:rFonts w:eastAsia="Times New Roman" w:cs="Times New Roman"/>
      <w:color w:val="000000" w:themeColor="text1"/>
      <w:sz w:val="20"/>
    </w:rPr>
  </w:style>
  <w:style w:type="paragraph" w:customStyle="1" w:styleId="BulletL2">
    <w:name w:val="Bullet L2"/>
    <w:basedOn w:val="Bodytext"/>
    <w:link w:val="BulletL2Char"/>
    <w:rsid w:val="004E7B39"/>
    <w:pPr>
      <w:numPr>
        <w:numId w:val="1"/>
      </w:numPr>
      <w:tabs>
        <w:tab w:val="left" w:pos="714"/>
      </w:tabs>
      <w:spacing w:after="120"/>
      <w:ind w:left="681" w:hanging="397"/>
    </w:pPr>
    <w:rPr>
      <w:rFonts w:cs="Calibri"/>
      <w:szCs w:val="22"/>
    </w:rPr>
  </w:style>
  <w:style w:type="character" w:customStyle="1" w:styleId="BulletL2Char">
    <w:name w:val="Bullet L2 Char"/>
    <w:basedOn w:val="BodytextChar"/>
    <w:link w:val="BulletL2"/>
    <w:rsid w:val="004E7B39"/>
    <w:rPr>
      <w:rFonts w:ascii="Calibri" w:eastAsia="Times New Roman" w:hAnsi="Calibri" w:cs="Calibri"/>
      <w:color w:val="000000"/>
      <w:sz w:val="21"/>
      <w:szCs w:val="22"/>
      <w:shd w:val="clear" w:color="auto" w:fill="FFFFFF"/>
    </w:rPr>
  </w:style>
  <w:style w:type="paragraph" w:customStyle="1" w:styleId="BulletL1">
    <w:name w:val="Bullet L1"/>
    <w:basedOn w:val="Bodytext"/>
    <w:link w:val="BulletL1Char"/>
    <w:rsid w:val="004E7B39"/>
    <w:pPr>
      <w:numPr>
        <w:numId w:val="2"/>
      </w:numPr>
      <w:tabs>
        <w:tab w:val="left" w:pos="357"/>
      </w:tabs>
      <w:overflowPunct w:val="0"/>
      <w:autoSpaceDE w:val="0"/>
      <w:autoSpaceDN w:val="0"/>
      <w:adjustRightInd w:val="0"/>
      <w:spacing w:after="120"/>
      <w:textAlignment w:val="baseline"/>
    </w:pPr>
    <w:rPr>
      <w:rFonts w:eastAsia="Times New Roman" w:cs="Calibri"/>
      <w:color w:val="000000" w:themeColor="text1"/>
      <w:szCs w:val="22"/>
      <w:lang w:val="en-US"/>
    </w:rPr>
  </w:style>
  <w:style w:type="character" w:customStyle="1" w:styleId="BulletL1Char">
    <w:name w:val="Bullet L1 Char"/>
    <w:basedOn w:val="DefaultParagraphFont"/>
    <w:link w:val="BulletL1"/>
    <w:rsid w:val="004E7B39"/>
    <w:rPr>
      <w:rFonts w:ascii="Calibri" w:eastAsia="Times New Roman" w:hAnsi="Calibri" w:cs="Calibri"/>
      <w:color w:val="000000" w:themeColor="text1"/>
      <w:sz w:val="21"/>
      <w:szCs w:val="22"/>
      <w:shd w:val="clear" w:color="auto" w:fill="FFFFFF"/>
      <w:lang w:val="en-US"/>
    </w:rPr>
  </w:style>
  <w:style w:type="paragraph" w:customStyle="1" w:styleId="BulletL3">
    <w:name w:val="Bullet L3"/>
    <w:basedOn w:val="BulletL2"/>
    <w:link w:val="BulletL3Char"/>
    <w:qFormat/>
    <w:rsid w:val="004E7B39"/>
    <w:pPr>
      <w:tabs>
        <w:tab w:val="clear" w:pos="714"/>
        <w:tab w:val="left" w:pos="1072"/>
      </w:tabs>
      <w:ind w:left="1071"/>
    </w:pPr>
  </w:style>
  <w:style w:type="character" w:customStyle="1" w:styleId="BulletL3Char">
    <w:name w:val="Bullet L3 Char"/>
    <w:basedOn w:val="BulletL2Char"/>
    <w:link w:val="BulletL3"/>
    <w:rsid w:val="004E7B39"/>
    <w:rPr>
      <w:rFonts w:ascii="Calibri" w:eastAsia="Times New Roman" w:hAnsi="Calibri" w:cs="Calibri"/>
      <w:color w:val="000000"/>
      <w:sz w:val="21"/>
      <w:szCs w:val="22"/>
      <w:shd w:val="clear" w:color="auto" w:fill="FFFFFF"/>
    </w:rPr>
  </w:style>
  <w:style w:type="paragraph" w:customStyle="1" w:styleId="H2numbered">
    <w:name w:val="H2 numbered"/>
    <w:basedOn w:val="BodyText1"/>
    <w:next w:val="BodyText1"/>
    <w:rsid w:val="004E7B39"/>
    <w:pPr>
      <w:keepNext/>
      <w:numPr>
        <w:ilvl w:val="1"/>
        <w:numId w:val="3"/>
      </w:numPr>
      <w:spacing w:before="300" w:after="0" w:line="216" w:lineRule="auto"/>
      <w:outlineLvl w:val="1"/>
    </w:pPr>
    <w:rPr>
      <w:bCs/>
      <w:color w:val="004B91" w:themeColor="accent2"/>
      <w:sz w:val="30"/>
    </w:rPr>
  </w:style>
  <w:style w:type="paragraph" w:customStyle="1" w:styleId="Tablenote">
    <w:name w:val="Table note"/>
    <w:basedOn w:val="Normal"/>
    <w:next w:val="BodyText1"/>
    <w:rsid w:val="00993B92"/>
    <w:pPr>
      <w:spacing w:before="30" w:after="30" w:line="180" w:lineRule="exact"/>
    </w:pPr>
    <w:rPr>
      <w:rFonts w:eastAsia="Times New Roman" w:cs="Calibri"/>
      <w:color w:val="000000" w:themeColor="text1"/>
      <w:sz w:val="14"/>
    </w:rPr>
  </w:style>
  <w:style w:type="paragraph" w:customStyle="1" w:styleId="H3numbered">
    <w:name w:val="H3 numbered"/>
    <w:basedOn w:val="BodyText1"/>
    <w:next w:val="BodyText1"/>
    <w:rsid w:val="004E7B39"/>
    <w:pPr>
      <w:keepNext/>
      <w:numPr>
        <w:ilvl w:val="2"/>
        <w:numId w:val="3"/>
      </w:numPr>
      <w:spacing w:before="240" w:after="0" w:line="216" w:lineRule="auto"/>
      <w:outlineLvl w:val="2"/>
    </w:pPr>
    <w:rPr>
      <w:bCs/>
      <w:color w:val="595959" w:themeColor="text1" w:themeTint="A6"/>
      <w:sz w:val="26"/>
      <w:szCs w:val="22"/>
    </w:rPr>
  </w:style>
  <w:style w:type="paragraph" w:customStyle="1" w:styleId="H1numbered">
    <w:name w:val="H1 numbered"/>
    <w:basedOn w:val="Normal"/>
    <w:next w:val="BodyText1"/>
    <w:rsid w:val="004E7B39"/>
    <w:pPr>
      <w:numPr>
        <w:numId w:val="3"/>
      </w:numPr>
      <w:spacing w:after="480" w:line="240" w:lineRule="atLeast"/>
      <w:outlineLvl w:val="0"/>
    </w:pPr>
    <w:rPr>
      <w:rFonts w:eastAsia="Times New Roman" w:cs="Times New Roman"/>
      <w:bCs/>
      <w:color w:val="595959" w:themeColor="text1" w:themeTint="A6"/>
      <w:sz w:val="46"/>
    </w:rPr>
  </w:style>
  <w:style w:type="paragraph" w:customStyle="1" w:styleId="Source">
    <w:name w:val="Source"/>
    <w:basedOn w:val="Tablenote"/>
    <w:next w:val="Tablenote"/>
    <w:rsid w:val="004E7B39"/>
    <w:rPr>
      <w:i/>
    </w:rPr>
  </w:style>
  <w:style w:type="paragraph" w:customStyle="1" w:styleId="Tabletext">
    <w:name w:val="Table text"/>
    <w:basedOn w:val="Normal"/>
    <w:rsid w:val="00993B92"/>
    <w:pPr>
      <w:overflowPunct w:val="0"/>
      <w:autoSpaceDE w:val="0"/>
      <w:autoSpaceDN w:val="0"/>
      <w:adjustRightInd w:val="0"/>
      <w:spacing w:before="40" w:after="40" w:line="220" w:lineRule="atLeast"/>
      <w:textAlignment w:val="baseline"/>
    </w:pPr>
    <w:rPr>
      <w:rFonts w:eastAsia="Times New Roman" w:cs="Calibri"/>
      <w:color w:val="000000" w:themeColor="text1"/>
      <w:sz w:val="18"/>
      <w:szCs w:val="18"/>
    </w:rPr>
  </w:style>
  <w:style w:type="paragraph" w:customStyle="1" w:styleId="Tablecharttitle">
    <w:name w:val="Table/chart title"/>
    <w:basedOn w:val="Normal"/>
    <w:next w:val="BodyText1"/>
    <w:rsid w:val="00506049"/>
    <w:pPr>
      <w:keepNext/>
      <w:overflowPunct w:val="0"/>
      <w:autoSpaceDE w:val="0"/>
      <w:autoSpaceDN w:val="0"/>
      <w:adjustRightInd w:val="0"/>
      <w:spacing w:before="200" w:after="40" w:line="240" w:lineRule="atLeast"/>
      <w:textAlignment w:val="baseline"/>
    </w:pPr>
    <w:rPr>
      <w:rFonts w:ascii="Trebuchet MS" w:eastAsia="Times New Roman" w:hAnsi="Trebuchet MS" w:cs="Calibri"/>
      <w:b/>
      <w:bCs/>
      <w:caps/>
      <w:color w:val="004B91" w:themeColor="accent2"/>
      <w:sz w:val="20"/>
      <w:szCs w:val="20"/>
    </w:rPr>
  </w:style>
  <w:style w:type="paragraph" w:customStyle="1" w:styleId="Appendices">
    <w:name w:val="Appendices"/>
    <w:basedOn w:val="Normal"/>
    <w:next w:val="BodyText1"/>
    <w:rsid w:val="004E7B39"/>
    <w:pPr>
      <w:numPr>
        <w:ilvl w:val="4"/>
        <w:numId w:val="3"/>
      </w:numPr>
      <w:spacing w:after="480" w:line="240" w:lineRule="atLeast"/>
      <w:outlineLvl w:val="3"/>
    </w:pPr>
    <w:rPr>
      <w:rFonts w:asciiTheme="majorHAnsi" w:eastAsia="Times New Roman" w:hAnsiTheme="majorHAnsi" w:cs="Times New Roman"/>
      <w:bCs/>
      <w:color w:val="595959" w:themeColor="text1" w:themeTint="A6"/>
      <w:sz w:val="46"/>
    </w:rPr>
  </w:style>
  <w:style w:type="paragraph" w:customStyle="1" w:styleId="H4numbered">
    <w:name w:val="H4 numbered"/>
    <w:basedOn w:val="Normal"/>
    <w:next w:val="BodyText1"/>
    <w:qFormat/>
    <w:rsid w:val="004E7B39"/>
    <w:pPr>
      <w:keepNext/>
      <w:numPr>
        <w:ilvl w:val="3"/>
        <w:numId w:val="3"/>
      </w:numPr>
      <w:spacing w:before="240" w:line="216" w:lineRule="auto"/>
    </w:pPr>
    <w:rPr>
      <w:rFonts w:eastAsia="Times New Roman" w:cs="Times New Roman"/>
      <w:b/>
      <w:bCs/>
      <w:color w:val="595959" w:themeColor="text1" w:themeTint="A6"/>
      <w:sz w:val="22"/>
      <w:szCs w:val="20"/>
    </w:rPr>
  </w:style>
  <w:style w:type="paragraph" w:customStyle="1" w:styleId="Tableheaderrow">
    <w:name w:val="Table header row"/>
    <w:basedOn w:val="Normal"/>
    <w:next w:val="BodyText1"/>
    <w:rsid w:val="00D356E5"/>
    <w:pPr>
      <w:keepNext/>
      <w:overflowPunct w:val="0"/>
      <w:autoSpaceDE w:val="0"/>
      <w:autoSpaceDN w:val="0"/>
      <w:adjustRightInd w:val="0"/>
      <w:spacing w:before="40" w:after="40" w:line="240" w:lineRule="atLeast"/>
      <w:textAlignment w:val="baseline"/>
    </w:pPr>
    <w:rPr>
      <w:rFonts w:asciiTheme="majorHAnsi" w:eastAsia="Times New Roman" w:hAnsiTheme="majorHAnsi" w:cstheme="majorHAnsi"/>
      <w:b/>
      <w:bCs/>
      <w:color w:val="FFFFFF" w:themeColor="background1"/>
      <w:sz w:val="20"/>
      <w:szCs w:val="20"/>
    </w:rPr>
  </w:style>
  <w:style w:type="paragraph" w:customStyle="1" w:styleId="TablebulletL1">
    <w:name w:val="Table bullet L1"/>
    <w:basedOn w:val="Normal"/>
    <w:link w:val="TablebulletL1Char"/>
    <w:rsid w:val="00993B92"/>
    <w:pPr>
      <w:numPr>
        <w:numId w:val="4"/>
      </w:numPr>
      <w:tabs>
        <w:tab w:val="left" w:pos="357"/>
      </w:tabs>
      <w:spacing w:before="40" w:after="40"/>
      <w:ind w:left="357" w:hanging="357"/>
    </w:pPr>
    <w:rPr>
      <w:rFonts w:eastAsia="Times New Roman" w:cs="Calibri"/>
      <w:color w:val="000000" w:themeColor="text1"/>
      <w:sz w:val="18"/>
      <w:szCs w:val="18"/>
    </w:rPr>
  </w:style>
  <w:style w:type="character" w:customStyle="1" w:styleId="TablebulletL1Char">
    <w:name w:val="Table bullet L1 Char"/>
    <w:basedOn w:val="DefaultParagraphFont"/>
    <w:link w:val="TablebulletL1"/>
    <w:rsid w:val="00993B92"/>
    <w:rPr>
      <w:rFonts w:ascii="Calibri" w:eastAsia="Times New Roman" w:hAnsi="Calibri" w:cs="Calibri"/>
      <w:color w:val="000000" w:themeColor="text1"/>
      <w:sz w:val="18"/>
      <w:szCs w:val="18"/>
    </w:rPr>
  </w:style>
  <w:style w:type="paragraph" w:customStyle="1" w:styleId="TablebulletL2">
    <w:name w:val="Table bullet L2"/>
    <w:basedOn w:val="TablebulletL1"/>
    <w:link w:val="TablebulletL2Char"/>
    <w:rsid w:val="00993B92"/>
    <w:pPr>
      <w:numPr>
        <w:numId w:val="5"/>
      </w:numPr>
      <w:tabs>
        <w:tab w:val="clear" w:pos="357"/>
        <w:tab w:val="left" w:pos="714"/>
      </w:tabs>
      <w:ind w:left="714" w:hanging="357"/>
    </w:pPr>
  </w:style>
  <w:style w:type="character" w:customStyle="1" w:styleId="TablebulletL2Char">
    <w:name w:val="Table bullet L2 Char"/>
    <w:basedOn w:val="TablebulletL1Char"/>
    <w:link w:val="TablebulletL2"/>
    <w:rsid w:val="00993B92"/>
    <w:rPr>
      <w:rFonts w:ascii="Calibri" w:eastAsia="Times New Roman" w:hAnsi="Calibri" w:cs="Calibri"/>
      <w:color w:val="000000" w:themeColor="text1"/>
      <w:sz w:val="18"/>
      <w:szCs w:val="18"/>
    </w:rPr>
  </w:style>
  <w:style w:type="paragraph" w:customStyle="1" w:styleId="Tabletextbold">
    <w:name w:val="Table text bold"/>
    <w:basedOn w:val="Tabletext"/>
    <w:rsid w:val="00993B92"/>
    <w:rPr>
      <w:b/>
      <w:szCs w:val="20"/>
    </w:rPr>
  </w:style>
  <w:style w:type="paragraph" w:customStyle="1" w:styleId="TitlePage">
    <w:name w:val="Title Page"/>
    <w:basedOn w:val="Normal"/>
    <w:rsid w:val="00D356E5"/>
    <w:pPr>
      <w:spacing w:before="11040"/>
    </w:pPr>
    <w:rPr>
      <w:b/>
      <w:color w:val="1F497D" w:themeColor="text2"/>
      <w:sz w:val="52"/>
      <w:szCs w:val="56"/>
    </w:rPr>
  </w:style>
  <w:style w:type="paragraph" w:customStyle="1" w:styleId="ARPCBodyCopy">
    <w:name w:val="ARPC Body Copy"/>
    <w:basedOn w:val="Normal"/>
    <w:qFormat/>
    <w:rsid w:val="00556B20"/>
    <w:pPr>
      <w:spacing w:after="180"/>
    </w:pPr>
    <w:rPr>
      <w:sz w:val="22"/>
      <w:szCs w:val="22"/>
      <w:lang w:val="en-US"/>
    </w:rPr>
  </w:style>
  <w:style w:type="character" w:styleId="CommentReference">
    <w:name w:val="annotation reference"/>
    <w:basedOn w:val="DefaultParagraphFont"/>
    <w:uiPriority w:val="99"/>
    <w:unhideWhenUsed/>
    <w:rsid w:val="00556B20"/>
    <w:rPr>
      <w:sz w:val="16"/>
      <w:szCs w:val="16"/>
    </w:rPr>
  </w:style>
  <w:style w:type="paragraph" w:styleId="CommentText">
    <w:name w:val="annotation text"/>
    <w:basedOn w:val="Normal"/>
    <w:link w:val="CommentTextChar"/>
    <w:uiPriority w:val="99"/>
    <w:unhideWhenUsed/>
    <w:rsid w:val="00556B20"/>
    <w:pPr>
      <w:spacing w:after="0"/>
    </w:pPr>
    <w:rPr>
      <w:rFonts w:asciiTheme="minorHAnsi" w:hAnsiTheme="minorHAnsi"/>
      <w:sz w:val="20"/>
      <w:szCs w:val="20"/>
    </w:rPr>
  </w:style>
  <w:style w:type="character" w:customStyle="1" w:styleId="CommentTextChar">
    <w:name w:val="Comment Text Char"/>
    <w:basedOn w:val="DefaultParagraphFont"/>
    <w:link w:val="CommentText"/>
    <w:uiPriority w:val="99"/>
    <w:rsid w:val="00556B20"/>
    <w:rPr>
      <w:sz w:val="20"/>
      <w:szCs w:val="20"/>
    </w:rPr>
  </w:style>
  <w:style w:type="paragraph" w:styleId="TOCHeading">
    <w:name w:val="TOC Heading"/>
    <w:basedOn w:val="Heading1"/>
    <w:next w:val="Normal"/>
    <w:uiPriority w:val="39"/>
    <w:unhideWhenUsed/>
    <w:qFormat/>
    <w:rsid w:val="00556B20"/>
    <w:pPr>
      <w:keepNext/>
      <w:keepLines/>
      <w:pageBreakBefore w:val="0"/>
      <w:spacing w:before="240" w:after="0" w:line="259" w:lineRule="auto"/>
      <w:outlineLvl w:val="9"/>
    </w:pPr>
    <w:rPr>
      <w:rFonts w:asciiTheme="majorHAnsi" w:eastAsiaTheme="majorEastAsia" w:hAnsiTheme="majorHAnsi" w:cstheme="majorBidi"/>
      <w:caps w:val="0"/>
      <w:color w:val="00224B" w:themeColor="accent1" w:themeShade="BF"/>
      <w:sz w:val="32"/>
      <w:szCs w:val="32"/>
      <w:lang w:val="en-US"/>
    </w:rPr>
  </w:style>
  <w:style w:type="paragraph" w:styleId="TOC1">
    <w:name w:val="toc 1"/>
    <w:basedOn w:val="Normal"/>
    <w:next w:val="Normal"/>
    <w:autoRedefine/>
    <w:uiPriority w:val="39"/>
    <w:unhideWhenUsed/>
    <w:rsid w:val="00556B20"/>
    <w:pPr>
      <w:spacing w:after="100"/>
    </w:pPr>
  </w:style>
  <w:style w:type="paragraph" w:styleId="TOC2">
    <w:name w:val="toc 2"/>
    <w:basedOn w:val="TOC1"/>
    <w:next w:val="Normal"/>
    <w:autoRedefine/>
    <w:uiPriority w:val="39"/>
    <w:unhideWhenUsed/>
    <w:rsid w:val="0079426F"/>
    <w:pPr>
      <w:tabs>
        <w:tab w:val="left" w:pos="420"/>
        <w:tab w:val="right" w:leader="dot" w:pos="8290"/>
      </w:tabs>
      <w:ind w:left="426"/>
    </w:pPr>
    <w:rPr>
      <w:noProof/>
    </w:rPr>
  </w:style>
  <w:style w:type="paragraph" w:styleId="TOC3">
    <w:name w:val="toc 3"/>
    <w:basedOn w:val="Normal"/>
    <w:next w:val="Normal"/>
    <w:autoRedefine/>
    <w:uiPriority w:val="39"/>
    <w:unhideWhenUsed/>
    <w:rsid w:val="00556B20"/>
    <w:pPr>
      <w:spacing w:after="100"/>
      <w:ind w:left="420"/>
    </w:pPr>
  </w:style>
  <w:style w:type="character" w:styleId="Hyperlink">
    <w:name w:val="Hyperlink"/>
    <w:basedOn w:val="DefaultParagraphFont"/>
    <w:uiPriority w:val="99"/>
    <w:unhideWhenUsed/>
    <w:rsid w:val="00556B20"/>
    <w:rPr>
      <w:color w:val="141313" w:themeColor="hyperlink"/>
      <w:u w:val="single"/>
    </w:rPr>
  </w:style>
  <w:style w:type="paragraph" w:styleId="Title">
    <w:name w:val="Title"/>
    <w:basedOn w:val="Normal"/>
    <w:next w:val="Normal"/>
    <w:link w:val="TitleChar"/>
    <w:uiPriority w:val="10"/>
    <w:qFormat/>
    <w:rsid w:val="00317D76"/>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17D76"/>
    <w:rPr>
      <w:rFonts w:asciiTheme="majorHAnsi" w:eastAsiaTheme="majorEastAsia" w:hAnsiTheme="majorHAnsi" w:cstheme="majorBidi"/>
      <w:spacing w:val="-10"/>
      <w:kern w:val="28"/>
      <w:sz w:val="56"/>
      <w:szCs w:val="56"/>
    </w:rPr>
  </w:style>
  <w:style w:type="character" w:styleId="FootnoteReference">
    <w:name w:val="footnote reference"/>
    <w:basedOn w:val="DefaultParagraphFont"/>
    <w:uiPriority w:val="99"/>
    <w:unhideWhenUsed/>
    <w:rsid w:val="00904206"/>
    <w:rPr>
      <w:vertAlign w:val="superscript"/>
    </w:rPr>
  </w:style>
  <w:style w:type="paragraph" w:customStyle="1" w:styleId="ARPCSubhead3">
    <w:name w:val="ARPC Subhead 3"/>
    <w:basedOn w:val="Normal"/>
    <w:qFormat/>
    <w:rsid w:val="00904206"/>
    <w:pPr>
      <w:keepNext/>
      <w:keepLines/>
      <w:spacing w:before="40" w:after="80"/>
      <w:outlineLvl w:val="2"/>
    </w:pPr>
    <w:rPr>
      <w:rFonts w:eastAsia="MS Gothic" w:cs="Times New Roman"/>
      <w:b/>
      <w:bCs/>
      <w:color w:val="404040" w:themeColor="text1" w:themeTint="BF"/>
      <w:sz w:val="22"/>
      <w:szCs w:val="22"/>
    </w:rPr>
  </w:style>
  <w:style w:type="paragraph" w:customStyle="1" w:styleId="Bullet">
    <w:name w:val="Bullet"/>
    <w:basedOn w:val="Normal"/>
    <w:link w:val="BulletChar"/>
    <w:rsid w:val="00904206"/>
    <w:pPr>
      <w:numPr>
        <w:numId w:val="6"/>
      </w:numPr>
      <w:spacing w:after="120"/>
    </w:pPr>
    <w:rPr>
      <w:rFonts w:asciiTheme="majorHAnsi" w:eastAsia="Calibri" w:hAnsiTheme="majorHAnsi"/>
      <w:sz w:val="22"/>
      <w:szCs w:val="22"/>
    </w:rPr>
  </w:style>
  <w:style w:type="paragraph" w:customStyle="1" w:styleId="Dash">
    <w:name w:val="Dash"/>
    <w:basedOn w:val="Normal"/>
    <w:rsid w:val="00904206"/>
    <w:pPr>
      <w:numPr>
        <w:ilvl w:val="1"/>
        <w:numId w:val="6"/>
      </w:numPr>
      <w:spacing w:after="180"/>
    </w:pPr>
    <w:rPr>
      <w:rFonts w:asciiTheme="minorHAnsi" w:eastAsia="Calibri" w:hAnsiTheme="minorHAnsi"/>
      <w:sz w:val="22"/>
      <w:szCs w:val="22"/>
    </w:rPr>
  </w:style>
  <w:style w:type="paragraph" w:customStyle="1" w:styleId="DoubleDot">
    <w:name w:val="Double Dot"/>
    <w:basedOn w:val="Normal"/>
    <w:rsid w:val="00904206"/>
    <w:pPr>
      <w:numPr>
        <w:ilvl w:val="2"/>
        <w:numId w:val="6"/>
      </w:numPr>
      <w:spacing w:after="180"/>
    </w:pPr>
    <w:rPr>
      <w:rFonts w:eastAsia="Calibri" w:cs="Times New Roman"/>
      <w:sz w:val="22"/>
      <w:szCs w:val="22"/>
    </w:rPr>
  </w:style>
  <w:style w:type="character" w:styleId="BookTitle">
    <w:name w:val="Book Title"/>
    <w:basedOn w:val="DefaultParagraphFont"/>
    <w:uiPriority w:val="33"/>
    <w:qFormat/>
    <w:rsid w:val="00544106"/>
    <w:rPr>
      <w:b/>
      <w:bCs/>
      <w:i/>
      <w:iCs/>
      <w:spacing w:val="5"/>
    </w:rPr>
  </w:style>
  <w:style w:type="character" w:styleId="IntenseReference">
    <w:name w:val="Intense Reference"/>
    <w:basedOn w:val="DefaultParagraphFont"/>
    <w:uiPriority w:val="32"/>
    <w:qFormat/>
    <w:rsid w:val="00544106"/>
    <w:rPr>
      <w:b/>
      <w:bCs/>
      <w:smallCaps/>
      <w:color w:val="002F65" w:themeColor="accent1"/>
      <w:spacing w:val="5"/>
    </w:rPr>
  </w:style>
  <w:style w:type="paragraph" w:customStyle="1" w:styleId="ARPCSubhead2">
    <w:name w:val="ARPC Subhead 2"/>
    <w:basedOn w:val="Normal"/>
    <w:qFormat/>
    <w:rsid w:val="00B86DDF"/>
    <w:pPr>
      <w:keepNext/>
      <w:keepLines/>
      <w:spacing w:before="250" w:after="90"/>
      <w:outlineLvl w:val="1"/>
    </w:pPr>
    <w:rPr>
      <w:rFonts w:eastAsiaTheme="majorEastAsia" w:cstheme="majorBidi"/>
      <w:b/>
      <w:bCs/>
      <w:color w:val="1F497D" w:themeColor="text2"/>
      <w:sz w:val="24"/>
    </w:rPr>
  </w:style>
  <w:style w:type="paragraph" w:styleId="ListParagraph">
    <w:name w:val="List Paragraph"/>
    <w:basedOn w:val="Normal"/>
    <w:uiPriority w:val="34"/>
    <w:qFormat/>
    <w:rsid w:val="00B86DDF"/>
    <w:pPr>
      <w:spacing w:after="0"/>
      <w:ind w:left="720"/>
      <w:contextualSpacing/>
    </w:pPr>
    <w:rPr>
      <w:rFonts w:asciiTheme="minorHAnsi" w:hAnsiTheme="minorHAnsi"/>
      <w:sz w:val="24"/>
      <w:lang w:val="en-US"/>
    </w:rPr>
  </w:style>
  <w:style w:type="table" w:styleId="TableGrid">
    <w:name w:val="Table Grid"/>
    <w:basedOn w:val="TableNormal"/>
    <w:uiPriority w:val="59"/>
    <w:rsid w:val="00B86DDF"/>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RPCTableBC">
    <w:name w:val="ARPC Table BC"/>
    <w:basedOn w:val="Normal"/>
    <w:qFormat/>
    <w:rsid w:val="00B86DDF"/>
    <w:pPr>
      <w:spacing w:after="0" w:line="192" w:lineRule="auto"/>
    </w:pPr>
    <w:rPr>
      <w:rFonts w:ascii="Calibri Light" w:hAnsi="Calibri Light"/>
      <w:sz w:val="22"/>
      <w:szCs w:val="22"/>
      <w:lang w:val="en-US"/>
    </w:rPr>
  </w:style>
  <w:style w:type="character" w:customStyle="1" w:styleId="Figure">
    <w:name w:val="Figure"/>
    <w:basedOn w:val="DefaultParagraphFont"/>
    <w:uiPriority w:val="1"/>
    <w:qFormat/>
    <w:rsid w:val="00833CC1"/>
    <w:rPr>
      <w:b/>
      <w:color w:val="184C8D"/>
      <w:sz w:val="20"/>
    </w:rPr>
  </w:style>
  <w:style w:type="character" w:customStyle="1" w:styleId="ARPCTableBCReg">
    <w:name w:val="ARPC Table BC Reg"/>
    <w:basedOn w:val="DefaultParagraphFont"/>
    <w:uiPriority w:val="1"/>
    <w:qFormat/>
    <w:rsid w:val="00B86DDF"/>
    <w:rPr>
      <w:rFonts w:ascii="Calibri" w:hAnsi="Calibri"/>
      <w:b w:val="0"/>
      <w:i w:val="0"/>
      <w:sz w:val="22"/>
    </w:rPr>
  </w:style>
  <w:style w:type="paragraph" w:customStyle="1" w:styleId="Footnote">
    <w:name w:val="Footnote"/>
    <w:basedOn w:val="FootnoteText"/>
    <w:qFormat/>
    <w:rsid w:val="00B86DDF"/>
    <w:rPr>
      <w:rFonts w:asciiTheme="majorHAnsi" w:hAnsiTheme="majorHAnsi"/>
      <w:color w:val="7F7F7F" w:themeColor="text1" w:themeTint="80"/>
      <w:sz w:val="16"/>
      <w:lang w:val="en-US"/>
    </w:rPr>
  </w:style>
  <w:style w:type="paragraph" w:customStyle="1" w:styleId="MeasureLight">
    <w:name w:val="Measure: Light"/>
    <w:basedOn w:val="ARPCBodyCopy"/>
    <w:qFormat/>
    <w:rsid w:val="00B86DDF"/>
    <w:pPr>
      <w:tabs>
        <w:tab w:val="left" w:pos="1134"/>
      </w:tabs>
      <w:ind w:left="1134" w:hanging="1134"/>
    </w:pPr>
    <w:rPr>
      <w:rFonts w:ascii="Calibri Light" w:hAnsi="Calibri Light"/>
      <w:color w:val="184C8D"/>
      <w:sz w:val="24"/>
    </w:rPr>
  </w:style>
  <w:style w:type="paragraph" w:customStyle="1" w:styleId="KPIHeader">
    <w:name w:val="KPI Header"/>
    <w:basedOn w:val="ARPCSubhead2"/>
    <w:qFormat/>
    <w:rsid w:val="00B86DDF"/>
    <w:pPr>
      <w:spacing w:before="120"/>
    </w:pPr>
    <w:rPr>
      <w:color w:val="184C8D"/>
    </w:rPr>
  </w:style>
  <w:style w:type="paragraph" w:customStyle="1" w:styleId="ARPCTableHeader">
    <w:name w:val="ARPC Table Header"/>
    <w:basedOn w:val="Normal"/>
    <w:qFormat/>
    <w:rsid w:val="00B86DDF"/>
    <w:pPr>
      <w:spacing w:after="0"/>
    </w:pPr>
    <w:rPr>
      <w:rFonts w:ascii="Calibri Light" w:hAnsi="Calibri Light"/>
      <w:color w:val="FFFFFF" w:themeColor="background1"/>
      <w:sz w:val="22"/>
      <w:szCs w:val="20"/>
      <w:lang w:val="en-US"/>
    </w:rPr>
  </w:style>
  <w:style w:type="paragraph" w:styleId="FootnoteText">
    <w:name w:val="footnote text"/>
    <w:basedOn w:val="Normal"/>
    <w:link w:val="FootnoteTextChar"/>
    <w:uiPriority w:val="99"/>
    <w:semiHidden/>
    <w:unhideWhenUsed/>
    <w:rsid w:val="00B86DDF"/>
    <w:pPr>
      <w:spacing w:after="0"/>
    </w:pPr>
    <w:rPr>
      <w:sz w:val="20"/>
      <w:szCs w:val="20"/>
    </w:rPr>
  </w:style>
  <w:style w:type="character" w:customStyle="1" w:styleId="FootnoteTextChar">
    <w:name w:val="Footnote Text Char"/>
    <w:basedOn w:val="DefaultParagraphFont"/>
    <w:link w:val="FootnoteText"/>
    <w:uiPriority w:val="99"/>
    <w:semiHidden/>
    <w:rsid w:val="00B86DDF"/>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9C6928"/>
    <w:pPr>
      <w:spacing w:after="240"/>
    </w:pPr>
    <w:rPr>
      <w:rFonts w:ascii="Calibri" w:hAnsi="Calibri"/>
      <w:b/>
      <w:bCs/>
    </w:rPr>
  </w:style>
  <w:style w:type="character" w:customStyle="1" w:styleId="CommentSubjectChar">
    <w:name w:val="Comment Subject Char"/>
    <w:basedOn w:val="CommentTextChar"/>
    <w:link w:val="CommentSubject"/>
    <w:uiPriority w:val="99"/>
    <w:semiHidden/>
    <w:rsid w:val="009C6928"/>
    <w:rPr>
      <w:rFonts w:ascii="Calibri" w:hAnsi="Calibri"/>
      <w:b/>
      <w:bCs/>
      <w:sz w:val="20"/>
      <w:szCs w:val="20"/>
    </w:rPr>
  </w:style>
  <w:style w:type="paragraph" w:customStyle="1" w:styleId="Otherheadings">
    <w:name w:val="Other headings"/>
    <w:qFormat/>
    <w:rsid w:val="009516A4"/>
    <w:pPr>
      <w:spacing w:after="240"/>
    </w:pPr>
    <w:rPr>
      <w:rFonts w:ascii="Trebuchet MS" w:eastAsiaTheme="majorEastAsia" w:hAnsi="Trebuchet MS" w:cstheme="majorBidi"/>
      <w:b/>
      <w:caps/>
      <w:color w:val="004B91" w:themeColor="accent2"/>
      <w:sz w:val="32"/>
    </w:rPr>
  </w:style>
  <w:style w:type="paragraph" w:styleId="NoSpacing">
    <w:name w:val="No Spacing"/>
    <w:uiPriority w:val="1"/>
    <w:qFormat/>
    <w:rsid w:val="00691E25"/>
    <w:rPr>
      <w:rFonts w:ascii="Calibri" w:hAnsi="Calibri"/>
      <w:sz w:val="21"/>
    </w:rPr>
  </w:style>
  <w:style w:type="character" w:customStyle="1" w:styleId="UnresolvedMention1">
    <w:name w:val="Unresolved Mention1"/>
    <w:basedOn w:val="DefaultParagraphFont"/>
    <w:uiPriority w:val="99"/>
    <w:semiHidden/>
    <w:unhideWhenUsed/>
    <w:rsid w:val="00EE4772"/>
    <w:rPr>
      <w:color w:val="605E5C"/>
      <w:shd w:val="clear" w:color="auto" w:fill="E1DFDD"/>
    </w:rPr>
  </w:style>
  <w:style w:type="character" w:customStyle="1" w:styleId="BulletChar">
    <w:name w:val="Bullet Char"/>
    <w:basedOn w:val="DefaultParagraphFont"/>
    <w:link w:val="Bullet"/>
    <w:locked/>
    <w:rsid w:val="004605E1"/>
    <w:rPr>
      <w:rFonts w:asciiTheme="majorHAnsi" w:eastAsia="Calibri" w:hAnsiTheme="majorHAnsi"/>
      <w:sz w:val="22"/>
      <w:szCs w:val="22"/>
    </w:rPr>
  </w:style>
  <w:style w:type="paragraph" w:customStyle="1" w:styleId="ARPCTableBullet">
    <w:name w:val="ARPC Table Bullet"/>
    <w:basedOn w:val="Normal"/>
    <w:qFormat/>
    <w:rsid w:val="0030026E"/>
    <w:pPr>
      <w:numPr>
        <w:numId w:val="18"/>
      </w:numPr>
      <w:spacing w:after="60" w:line="204" w:lineRule="auto"/>
      <w:ind w:left="303" w:hanging="303"/>
    </w:pPr>
    <w:rPr>
      <w:rFonts w:ascii="Calibri Light" w:eastAsia="Calibri" w:hAnsi="Calibri Light"/>
      <w:sz w:val="22"/>
      <w:szCs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2721739">
      <w:bodyDiv w:val="1"/>
      <w:marLeft w:val="0"/>
      <w:marRight w:val="0"/>
      <w:marTop w:val="0"/>
      <w:marBottom w:val="0"/>
      <w:divBdr>
        <w:top w:val="none" w:sz="0" w:space="0" w:color="auto"/>
        <w:left w:val="none" w:sz="0" w:space="0" w:color="auto"/>
        <w:bottom w:val="none" w:sz="0" w:space="0" w:color="auto"/>
        <w:right w:val="none" w:sz="0" w:space="0" w:color="auto"/>
      </w:divBdr>
    </w:div>
    <w:div w:id="84235003">
      <w:bodyDiv w:val="1"/>
      <w:marLeft w:val="0"/>
      <w:marRight w:val="0"/>
      <w:marTop w:val="0"/>
      <w:marBottom w:val="0"/>
      <w:divBdr>
        <w:top w:val="none" w:sz="0" w:space="0" w:color="auto"/>
        <w:left w:val="none" w:sz="0" w:space="0" w:color="auto"/>
        <w:bottom w:val="none" w:sz="0" w:space="0" w:color="auto"/>
        <w:right w:val="none" w:sz="0" w:space="0" w:color="auto"/>
      </w:divBdr>
    </w:div>
    <w:div w:id="178466729">
      <w:bodyDiv w:val="1"/>
      <w:marLeft w:val="0"/>
      <w:marRight w:val="0"/>
      <w:marTop w:val="0"/>
      <w:marBottom w:val="0"/>
      <w:divBdr>
        <w:top w:val="none" w:sz="0" w:space="0" w:color="auto"/>
        <w:left w:val="none" w:sz="0" w:space="0" w:color="auto"/>
        <w:bottom w:val="none" w:sz="0" w:space="0" w:color="auto"/>
        <w:right w:val="none" w:sz="0" w:space="0" w:color="auto"/>
      </w:divBdr>
    </w:div>
    <w:div w:id="320743179">
      <w:bodyDiv w:val="1"/>
      <w:marLeft w:val="0"/>
      <w:marRight w:val="0"/>
      <w:marTop w:val="0"/>
      <w:marBottom w:val="0"/>
      <w:divBdr>
        <w:top w:val="none" w:sz="0" w:space="0" w:color="auto"/>
        <w:left w:val="none" w:sz="0" w:space="0" w:color="auto"/>
        <w:bottom w:val="none" w:sz="0" w:space="0" w:color="auto"/>
        <w:right w:val="none" w:sz="0" w:space="0" w:color="auto"/>
      </w:divBdr>
    </w:div>
    <w:div w:id="362291113">
      <w:bodyDiv w:val="1"/>
      <w:marLeft w:val="0"/>
      <w:marRight w:val="0"/>
      <w:marTop w:val="0"/>
      <w:marBottom w:val="0"/>
      <w:divBdr>
        <w:top w:val="none" w:sz="0" w:space="0" w:color="auto"/>
        <w:left w:val="none" w:sz="0" w:space="0" w:color="auto"/>
        <w:bottom w:val="none" w:sz="0" w:space="0" w:color="auto"/>
        <w:right w:val="none" w:sz="0" w:space="0" w:color="auto"/>
      </w:divBdr>
    </w:div>
    <w:div w:id="412238266">
      <w:bodyDiv w:val="1"/>
      <w:marLeft w:val="0"/>
      <w:marRight w:val="0"/>
      <w:marTop w:val="0"/>
      <w:marBottom w:val="0"/>
      <w:divBdr>
        <w:top w:val="none" w:sz="0" w:space="0" w:color="auto"/>
        <w:left w:val="none" w:sz="0" w:space="0" w:color="auto"/>
        <w:bottom w:val="none" w:sz="0" w:space="0" w:color="auto"/>
        <w:right w:val="none" w:sz="0" w:space="0" w:color="auto"/>
      </w:divBdr>
    </w:div>
    <w:div w:id="469788052">
      <w:bodyDiv w:val="1"/>
      <w:marLeft w:val="0"/>
      <w:marRight w:val="0"/>
      <w:marTop w:val="0"/>
      <w:marBottom w:val="0"/>
      <w:divBdr>
        <w:top w:val="none" w:sz="0" w:space="0" w:color="auto"/>
        <w:left w:val="none" w:sz="0" w:space="0" w:color="auto"/>
        <w:bottom w:val="none" w:sz="0" w:space="0" w:color="auto"/>
        <w:right w:val="none" w:sz="0" w:space="0" w:color="auto"/>
      </w:divBdr>
    </w:div>
    <w:div w:id="527062143">
      <w:bodyDiv w:val="1"/>
      <w:marLeft w:val="0"/>
      <w:marRight w:val="0"/>
      <w:marTop w:val="0"/>
      <w:marBottom w:val="0"/>
      <w:divBdr>
        <w:top w:val="none" w:sz="0" w:space="0" w:color="auto"/>
        <w:left w:val="none" w:sz="0" w:space="0" w:color="auto"/>
        <w:bottom w:val="none" w:sz="0" w:space="0" w:color="auto"/>
        <w:right w:val="none" w:sz="0" w:space="0" w:color="auto"/>
      </w:divBdr>
    </w:div>
    <w:div w:id="978345631">
      <w:bodyDiv w:val="1"/>
      <w:marLeft w:val="0"/>
      <w:marRight w:val="0"/>
      <w:marTop w:val="0"/>
      <w:marBottom w:val="0"/>
      <w:divBdr>
        <w:top w:val="none" w:sz="0" w:space="0" w:color="auto"/>
        <w:left w:val="none" w:sz="0" w:space="0" w:color="auto"/>
        <w:bottom w:val="none" w:sz="0" w:space="0" w:color="auto"/>
        <w:right w:val="none" w:sz="0" w:space="0" w:color="auto"/>
      </w:divBdr>
    </w:div>
    <w:div w:id="1020199880">
      <w:bodyDiv w:val="1"/>
      <w:marLeft w:val="0"/>
      <w:marRight w:val="0"/>
      <w:marTop w:val="0"/>
      <w:marBottom w:val="0"/>
      <w:divBdr>
        <w:top w:val="none" w:sz="0" w:space="0" w:color="auto"/>
        <w:left w:val="none" w:sz="0" w:space="0" w:color="auto"/>
        <w:bottom w:val="none" w:sz="0" w:space="0" w:color="auto"/>
        <w:right w:val="none" w:sz="0" w:space="0" w:color="auto"/>
      </w:divBdr>
    </w:div>
    <w:div w:id="1163357236">
      <w:bodyDiv w:val="1"/>
      <w:marLeft w:val="0"/>
      <w:marRight w:val="0"/>
      <w:marTop w:val="0"/>
      <w:marBottom w:val="0"/>
      <w:divBdr>
        <w:top w:val="none" w:sz="0" w:space="0" w:color="auto"/>
        <w:left w:val="none" w:sz="0" w:space="0" w:color="auto"/>
        <w:bottom w:val="none" w:sz="0" w:space="0" w:color="auto"/>
        <w:right w:val="none" w:sz="0" w:space="0" w:color="auto"/>
      </w:divBdr>
    </w:div>
    <w:div w:id="1331712852">
      <w:bodyDiv w:val="1"/>
      <w:marLeft w:val="0"/>
      <w:marRight w:val="0"/>
      <w:marTop w:val="0"/>
      <w:marBottom w:val="0"/>
      <w:divBdr>
        <w:top w:val="none" w:sz="0" w:space="0" w:color="auto"/>
        <w:left w:val="none" w:sz="0" w:space="0" w:color="auto"/>
        <w:bottom w:val="none" w:sz="0" w:space="0" w:color="auto"/>
        <w:right w:val="none" w:sz="0" w:space="0" w:color="auto"/>
      </w:divBdr>
      <w:divsChild>
        <w:div w:id="211305582">
          <w:marLeft w:val="0"/>
          <w:marRight w:val="0"/>
          <w:marTop w:val="0"/>
          <w:marBottom w:val="0"/>
          <w:divBdr>
            <w:top w:val="none" w:sz="0" w:space="0" w:color="auto"/>
            <w:left w:val="none" w:sz="0" w:space="0" w:color="auto"/>
            <w:bottom w:val="none" w:sz="0" w:space="0" w:color="auto"/>
            <w:right w:val="none" w:sz="0" w:space="0" w:color="auto"/>
          </w:divBdr>
        </w:div>
        <w:div w:id="529101742">
          <w:marLeft w:val="0"/>
          <w:marRight w:val="0"/>
          <w:marTop w:val="0"/>
          <w:marBottom w:val="0"/>
          <w:divBdr>
            <w:top w:val="none" w:sz="0" w:space="0" w:color="auto"/>
            <w:left w:val="none" w:sz="0" w:space="0" w:color="auto"/>
            <w:bottom w:val="none" w:sz="0" w:space="0" w:color="auto"/>
            <w:right w:val="none" w:sz="0" w:space="0" w:color="auto"/>
          </w:divBdr>
        </w:div>
        <w:div w:id="1992054977">
          <w:marLeft w:val="0"/>
          <w:marRight w:val="0"/>
          <w:marTop w:val="0"/>
          <w:marBottom w:val="0"/>
          <w:divBdr>
            <w:top w:val="none" w:sz="0" w:space="0" w:color="auto"/>
            <w:left w:val="none" w:sz="0" w:space="0" w:color="auto"/>
            <w:bottom w:val="none" w:sz="0" w:space="0" w:color="auto"/>
            <w:right w:val="none" w:sz="0" w:space="0" w:color="auto"/>
          </w:divBdr>
        </w:div>
      </w:divsChild>
    </w:div>
    <w:div w:id="1333294635">
      <w:bodyDiv w:val="1"/>
      <w:marLeft w:val="0"/>
      <w:marRight w:val="0"/>
      <w:marTop w:val="0"/>
      <w:marBottom w:val="0"/>
      <w:divBdr>
        <w:top w:val="none" w:sz="0" w:space="0" w:color="auto"/>
        <w:left w:val="none" w:sz="0" w:space="0" w:color="auto"/>
        <w:bottom w:val="none" w:sz="0" w:space="0" w:color="auto"/>
        <w:right w:val="none" w:sz="0" w:space="0" w:color="auto"/>
      </w:divBdr>
    </w:div>
    <w:div w:id="1350252083">
      <w:bodyDiv w:val="1"/>
      <w:marLeft w:val="0"/>
      <w:marRight w:val="0"/>
      <w:marTop w:val="0"/>
      <w:marBottom w:val="0"/>
      <w:divBdr>
        <w:top w:val="none" w:sz="0" w:space="0" w:color="auto"/>
        <w:left w:val="none" w:sz="0" w:space="0" w:color="auto"/>
        <w:bottom w:val="none" w:sz="0" w:space="0" w:color="auto"/>
        <w:right w:val="none" w:sz="0" w:space="0" w:color="auto"/>
      </w:divBdr>
    </w:div>
    <w:div w:id="1836913191">
      <w:bodyDiv w:val="1"/>
      <w:marLeft w:val="0"/>
      <w:marRight w:val="0"/>
      <w:marTop w:val="0"/>
      <w:marBottom w:val="0"/>
      <w:divBdr>
        <w:top w:val="none" w:sz="0" w:space="0" w:color="auto"/>
        <w:left w:val="none" w:sz="0" w:space="0" w:color="auto"/>
        <w:bottom w:val="none" w:sz="0" w:space="0" w:color="auto"/>
        <w:right w:val="none" w:sz="0" w:space="0" w:color="auto"/>
      </w:divBdr>
    </w:div>
    <w:div w:id="1939946996">
      <w:bodyDiv w:val="1"/>
      <w:marLeft w:val="0"/>
      <w:marRight w:val="0"/>
      <w:marTop w:val="0"/>
      <w:marBottom w:val="0"/>
      <w:divBdr>
        <w:top w:val="none" w:sz="0" w:space="0" w:color="auto"/>
        <w:left w:val="none" w:sz="0" w:space="0" w:color="auto"/>
        <w:bottom w:val="none" w:sz="0" w:space="0" w:color="auto"/>
        <w:right w:val="none" w:sz="0" w:space="0" w:color="auto"/>
      </w:divBdr>
    </w:div>
    <w:div w:id="2030988334">
      <w:bodyDiv w:val="1"/>
      <w:marLeft w:val="0"/>
      <w:marRight w:val="0"/>
      <w:marTop w:val="0"/>
      <w:marBottom w:val="0"/>
      <w:divBdr>
        <w:top w:val="none" w:sz="0" w:space="0" w:color="auto"/>
        <w:left w:val="none" w:sz="0" w:space="0" w:color="auto"/>
        <w:bottom w:val="none" w:sz="0" w:space="0" w:color="auto"/>
        <w:right w:val="none" w:sz="0" w:space="0" w:color="auto"/>
      </w:divBdr>
    </w:div>
    <w:div w:id="210714434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1.jpg"/><Relationship Id="rId3" Type="http://schemas.openxmlformats.org/officeDocument/2006/relationships/customXml" Target="../customXml/item3.xml"/><Relationship Id="rId21" Type="http://schemas.openxmlformats.org/officeDocument/2006/relationships/image" Target="media/image6.png"/><Relationship Id="rId34" Type="http://schemas.openxmlformats.org/officeDocument/2006/relationships/footer" Target="footer4.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3.jpg"/><Relationship Id="rId25" Type="http://schemas.openxmlformats.org/officeDocument/2006/relationships/image" Target="media/image10.png"/><Relationship Id="rId33" Type="http://schemas.openxmlformats.org/officeDocument/2006/relationships/image" Target="media/image18.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arpc.gov.au/about-arpc/our-portfolio-minister/" TargetMode="External"/><Relationship Id="rId29"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footer" Target="footer5.xm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jp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7.pn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ssica%20Pham\Documents\Bendelta\ARPC_doc_template_2.dotx" TargetMode="External"/></Relationships>
</file>

<file path=word/theme/theme1.xml><?xml version="1.0" encoding="utf-8"?>
<a:theme xmlns:a="http://schemas.openxmlformats.org/drawingml/2006/main" name="Office Theme">
  <a:themeElements>
    <a:clrScheme name="ARPC">
      <a:dk1>
        <a:sysClr val="windowText" lastClr="000000"/>
      </a:dk1>
      <a:lt1>
        <a:sysClr val="window" lastClr="FFFFFF"/>
      </a:lt1>
      <a:dk2>
        <a:srgbClr val="1F497D"/>
      </a:dk2>
      <a:lt2>
        <a:srgbClr val="FFFFFF"/>
      </a:lt2>
      <a:accent1>
        <a:srgbClr val="002F65"/>
      </a:accent1>
      <a:accent2>
        <a:srgbClr val="004B91"/>
      </a:accent2>
      <a:accent3>
        <a:srgbClr val="056CB6"/>
      </a:accent3>
      <a:accent4>
        <a:srgbClr val="D9541E"/>
      </a:accent4>
      <a:accent5>
        <a:srgbClr val="5E6162"/>
      </a:accent5>
      <a:accent6>
        <a:srgbClr val="9E9FA1"/>
      </a:accent6>
      <a:hlink>
        <a:srgbClr val="141313"/>
      </a:hlink>
      <a:folHlink>
        <a:srgbClr val="141313"/>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Financial_x0020_Year xmlns="193d2b7f-05f7-4e58-9518-e46a74282b94">2017/2018</Financial_x0020_Year>
    <Security_x0020_Marker xmlns="193d2b7f-05f7-4e58-9518-e46a74282b94">UNCLASSIFIED</Security_x0020_Marker>
    <Disposal_x0020_Class_x0020_Comms xmlns="193d2b7f-05f7-4e58-9518-e46a74282b94">Publication_Disposal Action - Destroy 7 years after action completed - AFDA Express - Class 20337</Disposal_x0020_Class_x0020_Comms>
    <Harradine_x0020_Comms xmlns="193d2b7f-05f7-4e58-9518-e46a74282b94">General administration files (EXC)</Harradine_x0020_Comms>
    <_dlc_DocId xmlns="193d2b7f-05f7-4e58-9518-e46a74282b94">ARPC-1010811469-3233</_dlc_DocId>
    <_dlc_DocIdUrl xmlns="193d2b7f-05f7-4e58-9518-e46a74282b94">
      <Url>https://arpc1.sharepoint.com/bps/comms/_layouts/15/DocIdRedir.aspx?ID=ARPC-1010811469-3233</Url>
      <Description>ARPC-1010811469-3233</Description>
    </_dlc_DocIdUrl>
    <SharedWithUsers xmlns="193d2b7f-05f7-4e58-9518-e46a74282b94">
      <UserInfo>
        <DisplayName>Anna Fenech</DisplayName>
        <AccountId>91</AccountId>
        <AccountType/>
      </UserInfo>
      <UserInfo>
        <DisplayName>Michaela Flanagan</DisplayName>
        <AccountId>51</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5CB054F21BF0A43B933310977F4D98A" ma:contentTypeVersion="141" ma:contentTypeDescription="Create a new document." ma:contentTypeScope="" ma:versionID="82339109349ef135eed29da6d52e66fe">
  <xsd:schema xmlns:xsd="http://www.w3.org/2001/XMLSchema" xmlns:xs="http://www.w3.org/2001/XMLSchema" xmlns:p="http://schemas.microsoft.com/office/2006/metadata/properties" xmlns:ns2="193d2b7f-05f7-4e58-9518-e46a74282b94" xmlns:ns3="129c04bf-f7d6-40ae-80ff-186fa5f4492c" targetNamespace="http://schemas.microsoft.com/office/2006/metadata/properties" ma:root="true" ma:fieldsID="baa086c0162860fa547abfd0a032699f" ns2:_="" ns3:_="">
    <xsd:import namespace="193d2b7f-05f7-4e58-9518-e46a74282b94"/>
    <xsd:import namespace="129c04bf-f7d6-40ae-80ff-186fa5f4492c"/>
    <xsd:element name="properties">
      <xsd:complexType>
        <xsd:sequence>
          <xsd:element name="documentManagement">
            <xsd:complexType>
              <xsd:all>
                <xsd:element ref="ns2:_dlc_DocId" minOccurs="0"/>
                <xsd:element ref="ns2:_dlc_DocIdUrl" minOccurs="0"/>
                <xsd:element ref="ns2:_dlc_DocIdPersistId" minOccurs="0"/>
                <xsd:element ref="ns2:Financial_x0020_Year"/>
                <xsd:element ref="ns2:Security_x0020_Marker"/>
                <xsd:element ref="ns2:Disposal_x0020_Class_x0020_Comms"/>
                <xsd:element ref="ns2:Harradine_x0020_Comms"/>
                <xsd:element ref="ns3:MediaServiceMetadata" minOccurs="0"/>
                <xsd:element ref="ns3:MediaServiceFastMetadata" minOccurs="0"/>
                <xsd:element ref="ns3:MediaServiceDateTaken" minOccurs="0"/>
                <xsd:element ref="ns3:MediaServiceAutoTags" minOccurs="0"/>
                <xsd:element ref="ns3:MediaServiceOCR" minOccurs="0"/>
                <xsd:element ref="ns2:SharedWithUsers" minOccurs="0"/>
                <xsd:element ref="ns2:SharedWithDetails" minOccurs="0"/>
                <xsd:element ref="ns3:MediaServiceEventHashCode" minOccurs="0"/>
                <xsd:element ref="ns3:MediaServiceGenerationTi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3d2b7f-05f7-4e58-9518-e46a74282b9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inancial_x0020_Year" ma:index="11" ma:displayName="Financial Year" ma:default="2018/2019" ma:format="Dropdown" ma:internalName="Financial_x0020_Year">
      <xsd:simpleType>
        <xsd:restriction base="dms:Choice">
          <xsd:enumeration value="2003/2004"/>
          <xsd:enumeration value="2004/2005"/>
          <xsd:enumeration value="2005/2006"/>
          <xsd:enumeration value="2006/2007"/>
          <xsd:enumeration value="2007/2008"/>
          <xsd:enumeration value="2008/2009"/>
          <xsd:enumeration value="2009/2010"/>
          <xsd:enumeration value="2010/2011"/>
          <xsd:enumeration value="2011/2012"/>
          <xsd:enumeration value="2012/2013"/>
          <xsd:enumeration value="2013/2014"/>
          <xsd:enumeration value="2014/2015"/>
          <xsd:enumeration value="2015/2016"/>
          <xsd:enumeration value="2016/2017"/>
          <xsd:enumeration value="2017/2018"/>
          <xsd:enumeration value="2018/2019"/>
          <xsd:enumeration value="2020/2021"/>
          <xsd:enumeration value="2021/2022"/>
          <xsd:enumeration value="2023/2024"/>
          <xsd:enumeration value="2024/2025"/>
          <xsd:enumeration value="2025/2026"/>
          <xsd:enumeration value="2026/2027"/>
        </xsd:restriction>
      </xsd:simpleType>
    </xsd:element>
    <xsd:element name="Security_x0020_Marker" ma:index="12" ma:displayName="Security Marker" ma:default="UNCLASSIFIED" ma:format="Dropdown" ma:internalName="Security_x0020_Marker">
      <xsd:simpleType>
        <xsd:restriction base="dms:Choice">
          <xsd:enumeration value="UNCLASSIFIED"/>
          <xsd:enumeration value="FOR OFFICIAL USE ONLY"/>
          <xsd:enumeration value="CLASSIFIED"/>
        </xsd:restriction>
      </xsd:simpleType>
    </xsd:element>
    <xsd:element name="Disposal_x0020_Class_x0020_Comms" ma:index="13" ma:displayName="Disposal Class Comms" ma:default="Publication_Disposal Action - Destroy 7 years after action completed - AFDA Express - Class 20337" ma:format="Dropdown" ma:internalName="Disposal_x0020_Class_x0020_Comms">
      <xsd:simpleType>
        <xsd:restriction base="dms:Choice">
          <xsd:enumeration value="ARPC Board Administration_Disposal Action - Destroy 10 years after action completed - Governing Bodies - Class 21581"/>
          <xsd:enumeration value="ARPC Board Employment Conditions_Disposal Action - Destroy 75 years after date of birth - Governing Bodies - Class 21580"/>
          <xsd:enumeration value="ARPC Board_Disposal Action - Retain as national archives - Governing Bodies - Class 21579"/>
          <xsd:enumeration value="Audit_Disposal Action - Destroy 10 years after action completed - AFDA Express - Class 20341"/>
          <xsd:enumeration value="Claims_Retention Details - Retain until covered by a records authority"/>
          <xsd:enumeration value="Community Relations_Disposal Action - Destroy 7 years after action completed - AFDA Express - Class 20443"/>
          <xsd:enumeration value="Compliance_Disposal Action - Destroy 7 years after action completed - AFDA Express - Class 20342"/>
          <xsd:enumeration value="Employment Conditions_Disposal Action - Destroy 75 years after date of birth - AFDA Express - 20304"/>
          <xsd:enumeration value="Financial Services_Disposal Action - Destroy 7 years after action completed - AFDA Express - Class 20260"/>
          <xsd:enumeration value="Government Relations_Disposal Action - Destroy 10 years after action completed - AFDA Express - Class 20270"/>
          <xsd:enumeration value="Human Resources_Disposal Action - Destroy 7 years after action completed - AFDA Express - Class 20313"/>
          <xsd:enumeration value="Industrial Relations_Disposal Action - Destroy 10 years after action completed - AFDA Express - Class 20272"/>
          <xsd:enumeration value="Information Management_Disposal Action - Destroy 7 years after action completed - AFDA Express - Class 20344"/>
          <xsd:enumeration value="Information Technology_Disposal Action - Destroy 7 years after action completed - AFDA Express - Class 20344"/>
          <xsd:enumeration value="Insurance Audit_Disposal Action - Retain until covered by a records authority"/>
          <xsd:enumeration value="Investment Management_Disposal Action - Destroy 7 years after action completed - AFDA Express - Class 20260"/>
          <xsd:enumeration value="Legal Services_Disposal Action - Destroy 7 years after action completed - AFDA Express - 20455"/>
          <xsd:enumeration value="Policy_Disposal Action - Destroy 7 years after action completed - AFDA Express - Class 20342"/>
          <xsd:enumeration value="Procurement_Disposal Action - Destroy 7 years after action completed - ADA Express - Class 20317"/>
          <xsd:enumeration value="PropertyManagement_Disposal Action - Destroy 7 years after action completed - AFDA Express - Class 20328"/>
          <xsd:enumeration value="Publication_Disposal Action - Destroy 7 years after action completed - AFDA Express - Class 20337"/>
          <xsd:enumeration value="Risk Management_Disposal Action - Destroy 7 years after action completed - AFDA Express - Class 20342"/>
          <xsd:enumeration value="Staff Development_Disposal Action - Destroy 7 years after action completed - AFDA Express - Class 20339"/>
          <xsd:enumeration value="Strategic Management_Disposal Action - Destroy 7 years after action completed – AFDA Express – Class 20342"/>
          <xsd:enumeration value="Strategic Management_Disposal Action - Retain as national archives - AFDA Express - Class 20340"/>
          <xsd:enumeration value="Underwriting_Disposal Action - Retain until covered by a records authority"/>
          <xsd:enumeration value="WHS_Disposal Action - Destroy 7 years after action completed - AFDA Express - Class 20467"/>
        </xsd:restriction>
      </xsd:simpleType>
    </xsd:element>
    <xsd:element name="Harradine_x0020_Comms" ma:index="14" ma:displayName="Harradine Comms" ma:default="General administration files (EXC)" ma:format="Dropdown" ma:internalName="Harradine_x0020_Comms">
      <xsd:simpleType>
        <xsd:restriction base="dms:Choice">
          <xsd:enumeration value="Consulting Reports (INC)"/>
          <xsd:enumeration value="Policies and procedures (INC)"/>
          <xsd:enumeration value="Selection of consultancies (INC)"/>
          <xsd:enumeration value="Financial estimated for budget estimates (INC)"/>
          <xsd:enumeration value="General administration files (EXC)"/>
          <xsd:enumeration value="Case related files (EXC)"/>
        </xsd:restriction>
      </xsd:simple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29c04bf-f7d6-40ae-80ff-186fa5f4492c" elementFormDefault="qualified">
    <xsd:import namespace="http://schemas.microsoft.com/office/2006/documentManagement/types"/>
    <xsd:import namespace="http://schemas.microsoft.com/office/infopath/2007/PartnerControls"/>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MediaServiceAutoTags" ma:internalName="MediaServiceAutoTags" ma:readOnly="true">
      <xsd:simpleType>
        <xsd:restriction base="dms:Text"/>
      </xsd:simpleType>
    </xsd:element>
    <xsd:element name="MediaServiceOCR" ma:index="19" nillable="true" ma:displayName="MediaServiceOCR" ma:internalName="MediaServiceOCR" ma:readOnly="true">
      <xsd:simpleType>
        <xsd:restriction base="dms:Note">
          <xsd:maxLength value="255"/>
        </xsd:restriction>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GenerationTime" ma:index="23" nillable="true" ma:displayName="MediaServiceGenerationTime" ma:hidden="true" ma:internalName="MediaServiceGenerationTim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E22109-82B7-460E-A023-260750A43981}">
  <ds:schemaRefs>
    <ds:schemaRef ds:uri="http://schemas.microsoft.com/sharepoint/v3/contenttype/forms"/>
  </ds:schemaRefs>
</ds:datastoreItem>
</file>

<file path=customXml/itemProps2.xml><?xml version="1.0" encoding="utf-8"?>
<ds:datastoreItem xmlns:ds="http://schemas.openxmlformats.org/officeDocument/2006/customXml" ds:itemID="{70E3F51B-CAFB-4B51-BCB1-5DD3E8B878E1}">
  <ds:schemaRefs>
    <ds:schemaRef ds:uri="http://purl.org/dc/dcmitype/"/>
    <ds:schemaRef ds:uri="http://schemas.microsoft.com/office/infopath/2007/PartnerControls"/>
    <ds:schemaRef ds:uri="http://schemas.microsoft.com/office/2006/documentManagement/types"/>
    <ds:schemaRef ds:uri="http://schemas.openxmlformats.org/package/2006/metadata/core-properties"/>
    <ds:schemaRef ds:uri="193d2b7f-05f7-4e58-9518-e46a74282b94"/>
    <ds:schemaRef ds:uri="http://purl.org/dc/elements/1.1/"/>
    <ds:schemaRef ds:uri="http://purl.org/dc/terms/"/>
    <ds:schemaRef ds:uri="129c04bf-f7d6-40ae-80ff-186fa5f4492c"/>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7529F93F-9A0B-4CB8-832A-982DAB92444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3d2b7f-05f7-4e58-9518-e46a74282b94"/>
    <ds:schemaRef ds:uri="129c04bf-f7d6-40ae-80ff-186fa5f449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A007AD-A056-4251-B72F-F39B65327C73}">
  <ds:schemaRefs>
    <ds:schemaRef ds:uri="http://schemas.microsoft.com/sharepoint/events"/>
  </ds:schemaRefs>
</ds:datastoreItem>
</file>

<file path=customXml/itemProps5.xml><?xml version="1.0" encoding="utf-8"?>
<ds:datastoreItem xmlns:ds="http://schemas.openxmlformats.org/officeDocument/2006/customXml" ds:itemID="{7A740BE1-7075-49E1-92C9-8CB3ECD15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ARPC_doc_template_2</Template>
  <TotalTime>0</TotalTime>
  <Pages>35</Pages>
  <Words>4524</Words>
  <Characters>25788</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ARPC_Word Template_8May18 (002).docx</vt:lpstr>
    </vt:vector>
  </TitlesOfParts>
  <Company>Hopping Mad Designs Pty Ltd</Company>
  <LinksUpToDate>false</LinksUpToDate>
  <CharactersWithSpaces>30252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ARPC_Word Template_8May18 (002).docx</dc:title>
  <dc:subject/>
  <dc:creator>Jessica Pham</dc:creator>
  <cp:keywords/>
  <cp:lastModifiedBy>Danielle Shaw</cp:lastModifiedBy>
  <cp:revision>2</cp:revision>
  <cp:lastPrinted>2018-08-29T23:57:00Z</cp:lastPrinted>
  <dcterms:created xsi:type="dcterms:W3CDTF">2018-08-30T00:46:00Z</dcterms:created>
  <dcterms:modified xsi:type="dcterms:W3CDTF">2018-08-30T00:46:00Z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inancial Year">
    <vt:lpwstr>2017/2018</vt:lpwstr>
  </property>
  <property fmtid="{D5CDD505-2E9C-101B-9397-08002B2CF9AE}" pid="3" name="Security Marker">
    <vt:lpwstr>UNCLASSIFIED</vt:lpwstr>
  </property>
  <property fmtid="{D5CDD505-2E9C-101B-9397-08002B2CF9AE}" pid="4" name="Disposal Class Comms">
    <vt:lpwstr>Publication_Disposal Action - Destroy 7 years after action completed - AFDA Express - Class 20337</vt:lpwstr>
  </property>
  <property fmtid="{D5CDD505-2E9C-101B-9397-08002B2CF9AE}" pid="5" name="Harradine Comms">
    <vt:lpwstr>General administration files (EXC)</vt:lpwstr>
  </property>
  <property fmtid="{D5CDD505-2E9C-101B-9397-08002B2CF9AE}" pid="6" name="ContentTypeId">
    <vt:lpwstr>0x010100D5CB054F21BF0A43B933310977F4D98A</vt:lpwstr>
  </property>
  <property fmtid="{D5CDD505-2E9C-101B-9397-08002B2CF9AE}" pid="7" name="_dlc_DocIdItemGuid">
    <vt:lpwstr>2d6baafd-d897-438d-9b4b-a2ae168d6b5b</vt:lpwstr>
  </property>
</Properties>
</file>