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EACEEA" w14:textId="77777777" w:rsidR="00C126D3" w:rsidRPr="00C126D3" w:rsidRDefault="00C126D3" w:rsidP="00C126D3">
      <w:pPr>
        <w:keepNext/>
        <w:keepLines/>
        <w:spacing w:before="480" w:after="0"/>
        <w:outlineLvl w:val="0"/>
        <w:rPr>
          <w:rFonts w:asciiTheme="majorHAnsi" w:eastAsiaTheme="majorEastAsia" w:hAnsiTheme="majorHAnsi" w:cs="Times New Roman"/>
          <w:b/>
          <w:bCs/>
          <w:color w:val="365F91" w:themeColor="accent1" w:themeShade="BF"/>
          <w:sz w:val="28"/>
          <w:szCs w:val="28"/>
        </w:rPr>
      </w:pPr>
      <w:r w:rsidRPr="00C126D3">
        <w:rPr>
          <w:rFonts w:asciiTheme="majorHAnsi" w:eastAsiaTheme="majorEastAsia" w:hAnsiTheme="majorHAnsi" w:cs="Times New Roman"/>
          <w:b/>
          <w:bCs/>
          <w:color w:val="365F91" w:themeColor="accent1" w:themeShade="BF"/>
          <w:sz w:val="28"/>
          <w:szCs w:val="28"/>
        </w:rPr>
        <w:t>S</w:t>
      </w:r>
      <w:r>
        <w:rPr>
          <w:rFonts w:asciiTheme="majorHAnsi" w:eastAsiaTheme="majorEastAsia" w:hAnsiTheme="majorHAnsi" w:cs="Times New Roman"/>
          <w:b/>
          <w:bCs/>
          <w:color w:val="365F91" w:themeColor="accent1" w:themeShade="BF"/>
          <w:sz w:val="28"/>
          <w:szCs w:val="28"/>
        </w:rPr>
        <w:t>ummer</w:t>
      </w:r>
      <w:r w:rsidRPr="00C126D3">
        <w:rPr>
          <w:rFonts w:asciiTheme="majorHAnsi" w:eastAsiaTheme="majorEastAsia" w:hAnsiTheme="majorHAnsi" w:cs="Times New Roman"/>
          <w:b/>
          <w:bCs/>
          <w:color w:val="365F91" w:themeColor="accent1" w:themeShade="BF"/>
          <w:sz w:val="28"/>
          <w:szCs w:val="28"/>
        </w:rPr>
        <w:t xml:space="preserve"> 2017</w:t>
      </w:r>
      <w:r w:rsidRPr="00C126D3">
        <w:rPr>
          <w:rFonts w:asciiTheme="majorHAnsi" w:eastAsiaTheme="majorEastAsia" w:hAnsiTheme="majorHAnsi" w:cs="Times New Roman"/>
          <w:b/>
          <w:bCs/>
          <w:color w:val="365F91" w:themeColor="accent1" w:themeShade="BF"/>
          <w:sz w:val="28"/>
          <w:szCs w:val="28"/>
        </w:rPr>
        <w:tab/>
      </w:r>
      <w:r w:rsidRPr="00C126D3">
        <w:rPr>
          <w:rFonts w:asciiTheme="majorHAnsi" w:eastAsiaTheme="majorEastAsia" w:hAnsiTheme="majorHAnsi" w:cs="Times New Roman"/>
          <w:b/>
          <w:bCs/>
          <w:color w:val="365F91" w:themeColor="accent1" w:themeShade="BF"/>
          <w:sz w:val="28"/>
          <w:szCs w:val="28"/>
        </w:rPr>
        <w:tab/>
      </w:r>
      <w:r w:rsidRPr="00C126D3">
        <w:rPr>
          <w:rFonts w:asciiTheme="majorHAnsi" w:eastAsiaTheme="majorEastAsia" w:hAnsiTheme="majorHAnsi" w:cs="Times New Roman"/>
          <w:b/>
          <w:bCs/>
          <w:color w:val="365F91" w:themeColor="accent1" w:themeShade="BF"/>
          <w:sz w:val="28"/>
          <w:szCs w:val="28"/>
        </w:rPr>
        <w:tab/>
      </w:r>
      <w:r w:rsidRPr="00C126D3">
        <w:rPr>
          <w:rFonts w:asciiTheme="majorHAnsi" w:eastAsiaTheme="majorEastAsia" w:hAnsiTheme="majorHAnsi" w:cs="Times New Roman"/>
          <w:b/>
          <w:bCs/>
          <w:color w:val="365F91" w:themeColor="accent1" w:themeShade="BF"/>
          <w:sz w:val="28"/>
          <w:szCs w:val="28"/>
        </w:rPr>
        <w:tab/>
      </w:r>
      <w:r w:rsidRPr="00C126D3">
        <w:rPr>
          <w:rFonts w:asciiTheme="majorHAnsi" w:eastAsiaTheme="majorEastAsia" w:hAnsiTheme="majorHAnsi" w:cs="Times New Roman"/>
          <w:b/>
          <w:bCs/>
          <w:color w:val="365F91" w:themeColor="accent1" w:themeShade="BF"/>
          <w:sz w:val="28"/>
          <w:szCs w:val="28"/>
        </w:rPr>
        <w:tab/>
        <w:t xml:space="preserve">                                                    Under the Cover </w:t>
      </w:r>
    </w:p>
    <w:p w14:paraId="0EEACEEB" w14:textId="77777777" w:rsidR="00C126D3" w:rsidRPr="00C126D3" w:rsidRDefault="00C126D3" w:rsidP="00C126D3">
      <w:pPr>
        <w:rPr>
          <w:rFonts w:eastAsia="Times New Roman" w:cs="Times New Roman"/>
        </w:rPr>
      </w:pPr>
    </w:p>
    <w:p w14:paraId="0EEACEEC" w14:textId="4A1814C7" w:rsidR="00C126D3" w:rsidRPr="00304B0A" w:rsidRDefault="007A4E87" w:rsidP="00C126D3">
      <w:pPr>
        <w:pStyle w:val="Bullet"/>
        <w:rPr>
          <w:i/>
        </w:rPr>
      </w:pPr>
      <w:r w:rsidRPr="00304B0A">
        <w:rPr>
          <w:i/>
        </w:rPr>
        <w:t>Premium submissions due</w:t>
      </w:r>
    </w:p>
    <w:p w14:paraId="18E1DFF3" w14:textId="7CCA339C" w:rsidR="007A4E87" w:rsidRPr="00304B0A" w:rsidRDefault="00B00679" w:rsidP="00C126D3">
      <w:pPr>
        <w:pStyle w:val="Bullet"/>
        <w:rPr>
          <w:i/>
        </w:rPr>
      </w:pPr>
      <w:r>
        <w:rPr>
          <w:i/>
        </w:rPr>
        <w:t>Terrorism Risk Insurance Seminar Highlights</w:t>
      </w:r>
    </w:p>
    <w:p w14:paraId="5968B832" w14:textId="09176263" w:rsidR="005F2343" w:rsidRPr="00304B0A" w:rsidRDefault="0051694A" w:rsidP="00C126D3">
      <w:pPr>
        <w:pStyle w:val="Bullet"/>
        <w:rPr>
          <w:i/>
        </w:rPr>
      </w:pPr>
      <w:r w:rsidRPr="00304B0A">
        <w:rPr>
          <w:i/>
        </w:rPr>
        <w:t>Q&amp;A</w:t>
      </w:r>
    </w:p>
    <w:p w14:paraId="61261C3F" w14:textId="66C8696E" w:rsidR="0051694A" w:rsidRPr="00304B0A" w:rsidRDefault="004A3D9C" w:rsidP="00C126D3">
      <w:pPr>
        <w:pStyle w:val="Bullet"/>
        <w:rPr>
          <w:i/>
        </w:rPr>
      </w:pPr>
      <w:r w:rsidRPr="00304B0A">
        <w:rPr>
          <w:i/>
        </w:rPr>
        <w:t>Postcode tier classification changes</w:t>
      </w:r>
    </w:p>
    <w:p w14:paraId="31818F7B" w14:textId="18E776F2" w:rsidR="004A3D9C" w:rsidRPr="00304B0A" w:rsidRDefault="004A3D9C" w:rsidP="00C126D3">
      <w:pPr>
        <w:pStyle w:val="Bullet"/>
        <w:rPr>
          <w:i/>
        </w:rPr>
      </w:pPr>
      <w:r w:rsidRPr="00304B0A">
        <w:rPr>
          <w:i/>
        </w:rPr>
        <w:t xml:space="preserve">ARPC’s </w:t>
      </w:r>
      <w:proofErr w:type="spellStart"/>
      <w:r w:rsidR="0089610A">
        <w:rPr>
          <w:i/>
        </w:rPr>
        <w:t>C</w:t>
      </w:r>
      <w:r w:rsidRPr="00304B0A">
        <w:rPr>
          <w:i/>
        </w:rPr>
        <w:t>edant</w:t>
      </w:r>
      <w:proofErr w:type="spellEnd"/>
      <w:r w:rsidRPr="00304B0A">
        <w:rPr>
          <w:i/>
        </w:rPr>
        <w:t xml:space="preserve"> </w:t>
      </w:r>
      <w:r w:rsidR="0089610A">
        <w:rPr>
          <w:i/>
        </w:rPr>
        <w:t>R</w:t>
      </w:r>
      <w:r w:rsidRPr="00304B0A">
        <w:rPr>
          <w:i/>
        </w:rPr>
        <w:t xml:space="preserve">eview </w:t>
      </w:r>
      <w:r w:rsidR="0089610A">
        <w:rPr>
          <w:i/>
        </w:rPr>
        <w:t>P</w:t>
      </w:r>
      <w:r w:rsidRPr="00304B0A">
        <w:rPr>
          <w:i/>
        </w:rPr>
        <w:t xml:space="preserve">rogram </w:t>
      </w:r>
    </w:p>
    <w:p w14:paraId="5D560915" w14:textId="3771C95E" w:rsidR="0051694A" w:rsidRPr="00304B0A" w:rsidRDefault="0051694A" w:rsidP="00C126D3">
      <w:pPr>
        <w:pStyle w:val="Bullet"/>
        <w:rPr>
          <w:i/>
        </w:rPr>
      </w:pPr>
      <w:r w:rsidRPr="00304B0A">
        <w:rPr>
          <w:i/>
        </w:rPr>
        <w:t xml:space="preserve">Postcode </w:t>
      </w:r>
      <w:r w:rsidR="00AF0EB8" w:rsidRPr="00304B0A">
        <w:rPr>
          <w:i/>
        </w:rPr>
        <w:t>update</w:t>
      </w:r>
    </w:p>
    <w:p w14:paraId="7AC8659F" w14:textId="77777777" w:rsidR="0051694A" w:rsidRPr="00C126D3" w:rsidRDefault="0051694A" w:rsidP="003624A0">
      <w:pPr>
        <w:pStyle w:val="Bullet"/>
        <w:numPr>
          <w:ilvl w:val="0"/>
          <w:numId w:val="0"/>
        </w:numPr>
        <w:ind w:left="520"/>
      </w:pPr>
    </w:p>
    <w:p w14:paraId="0EEACEED" w14:textId="77777777" w:rsidR="00233B38" w:rsidRDefault="00233B38"/>
    <w:p w14:paraId="0EEACEEE" w14:textId="77777777" w:rsidR="00C126D3" w:rsidRPr="00C126D3" w:rsidRDefault="00C126D3" w:rsidP="00C126D3">
      <w:pPr>
        <w:keepNext/>
        <w:keepLines/>
        <w:spacing w:before="200" w:after="0"/>
        <w:outlineLvl w:val="1"/>
        <w:rPr>
          <w:rFonts w:asciiTheme="majorHAnsi" w:eastAsiaTheme="majorEastAsia" w:hAnsiTheme="majorHAnsi" w:cs="Times New Roman"/>
          <w:b/>
          <w:bCs/>
          <w:color w:val="4F81BD" w:themeColor="accent1"/>
          <w:sz w:val="26"/>
          <w:szCs w:val="26"/>
        </w:rPr>
      </w:pPr>
      <w:r w:rsidRPr="00C126D3">
        <w:rPr>
          <w:rFonts w:asciiTheme="majorHAnsi" w:eastAsiaTheme="majorEastAsia" w:hAnsiTheme="majorHAnsi" w:cs="Times New Roman"/>
          <w:b/>
          <w:bCs/>
          <w:color w:val="4F81BD" w:themeColor="accent1"/>
          <w:sz w:val="26"/>
          <w:szCs w:val="26"/>
        </w:rPr>
        <w:t>Message from the CEO</w:t>
      </w:r>
    </w:p>
    <w:p w14:paraId="0EEACEEF" w14:textId="77777777" w:rsidR="00C126D3" w:rsidRDefault="00C126D3" w:rsidP="009677FB">
      <w:pPr>
        <w:spacing w:after="0"/>
        <w:rPr>
          <w:rFonts w:eastAsia="Times New Roman" w:cs="Times New Roman"/>
        </w:rPr>
      </w:pPr>
      <w:r w:rsidRPr="00C126D3">
        <w:rPr>
          <w:rFonts w:eastAsia="Times New Roman" w:cs="Times New Roman"/>
        </w:rPr>
        <w:t>Welcome to the S</w:t>
      </w:r>
      <w:r>
        <w:rPr>
          <w:rFonts w:eastAsia="Times New Roman" w:cs="Times New Roman"/>
        </w:rPr>
        <w:t xml:space="preserve">ummer </w:t>
      </w:r>
      <w:r w:rsidRPr="00C126D3">
        <w:rPr>
          <w:rFonts w:eastAsia="Times New Roman" w:cs="Times New Roman"/>
        </w:rPr>
        <w:t>edition of our newsletter.</w:t>
      </w:r>
    </w:p>
    <w:p w14:paraId="0EEACEF0" w14:textId="77777777" w:rsidR="009677FB" w:rsidRDefault="009677FB" w:rsidP="009677FB">
      <w:pPr>
        <w:spacing w:after="0"/>
        <w:rPr>
          <w:rFonts w:eastAsia="Times New Roman" w:cs="Times New Roman"/>
        </w:rPr>
      </w:pPr>
    </w:p>
    <w:p w14:paraId="0EEACEF1" w14:textId="034DF736" w:rsidR="006D526B" w:rsidRDefault="006D526B" w:rsidP="00C126D3">
      <w:pPr>
        <w:rPr>
          <w:rFonts w:eastAsia="Times New Roman" w:cs="Times New Roman"/>
        </w:rPr>
      </w:pPr>
      <w:r>
        <w:rPr>
          <w:rFonts w:eastAsia="Times New Roman" w:cs="Times New Roman"/>
        </w:rPr>
        <w:t xml:space="preserve">October was a busy month for ARPC, with our Terrorism Risk Insurance Seminar </w:t>
      </w:r>
      <w:r w:rsidR="00106819">
        <w:rPr>
          <w:rFonts w:eastAsia="Times New Roman" w:cs="Times New Roman"/>
        </w:rPr>
        <w:t>taking place on 5 October</w:t>
      </w:r>
      <w:r>
        <w:rPr>
          <w:rFonts w:eastAsia="Times New Roman" w:cs="Times New Roman"/>
        </w:rPr>
        <w:t xml:space="preserve"> and the launch of our new website.</w:t>
      </w:r>
    </w:p>
    <w:p w14:paraId="0EEACEF2" w14:textId="611196CD" w:rsidR="006D526B" w:rsidRDefault="00106819" w:rsidP="00C126D3">
      <w:pPr>
        <w:rPr>
          <w:rFonts w:eastAsia="Times New Roman" w:cs="Times New Roman"/>
        </w:rPr>
      </w:pPr>
      <w:r>
        <w:rPr>
          <w:rFonts w:eastAsia="Times New Roman" w:cs="Times New Roman"/>
        </w:rPr>
        <w:t>About 115</w:t>
      </w:r>
      <w:r w:rsidR="006D526B">
        <w:rPr>
          <w:rFonts w:eastAsia="Times New Roman" w:cs="Times New Roman"/>
        </w:rPr>
        <w:t xml:space="preserve"> delegates attended the Seminar at </w:t>
      </w:r>
      <w:r>
        <w:rPr>
          <w:rFonts w:eastAsia="Times New Roman" w:cs="Times New Roman"/>
        </w:rPr>
        <w:t xml:space="preserve">NSW </w:t>
      </w:r>
      <w:r w:rsidR="006D526B">
        <w:rPr>
          <w:rFonts w:eastAsia="Times New Roman" w:cs="Times New Roman"/>
        </w:rPr>
        <w:t xml:space="preserve">Parliament House, Sydney, to hear insights into terrorism threats and mitigation measures from </w:t>
      </w:r>
      <w:r w:rsidR="00DE1ECC">
        <w:rPr>
          <w:rFonts w:eastAsia="Times New Roman" w:cs="Times New Roman"/>
        </w:rPr>
        <w:t xml:space="preserve">an impressive line-up of </w:t>
      </w:r>
      <w:r>
        <w:rPr>
          <w:rFonts w:eastAsia="Times New Roman" w:cs="Times New Roman"/>
        </w:rPr>
        <w:t xml:space="preserve">expert speakers covering </w:t>
      </w:r>
      <w:r w:rsidR="006D526B">
        <w:rPr>
          <w:rFonts w:eastAsia="Times New Roman" w:cs="Times New Roman"/>
        </w:rPr>
        <w:t xml:space="preserve">terrorism, cyber terrorism and risk insurance.  </w:t>
      </w:r>
      <w:r>
        <w:rPr>
          <w:rFonts w:eastAsia="Times New Roman" w:cs="Times New Roman"/>
        </w:rPr>
        <w:t xml:space="preserve">Most delegates </w:t>
      </w:r>
      <w:r w:rsidR="009677FB">
        <w:rPr>
          <w:rFonts w:eastAsia="Times New Roman" w:cs="Times New Roman"/>
        </w:rPr>
        <w:t>describ</w:t>
      </w:r>
      <w:r>
        <w:rPr>
          <w:rFonts w:eastAsia="Times New Roman" w:cs="Times New Roman"/>
        </w:rPr>
        <w:t>ed</w:t>
      </w:r>
      <w:r w:rsidR="009677FB">
        <w:rPr>
          <w:rFonts w:eastAsia="Times New Roman" w:cs="Times New Roman"/>
        </w:rPr>
        <w:t xml:space="preserve"> the Seminar as ‘excellent’</w:t>
      </w:r>
      <w:r w:rsidR="00556693">
        <w:rPr>
          <w:rFonts w:eastAsia="Times New Roman" w:cs="Times New Roman"/>
        </w:rPr>
        <w:t xml:space="preserve"> (the highest rating)</w:t>
      </w:r>
      <w:r w:rsidR="009677FB">
        <w:rPr>
          <w:rFonts w:eastAsia="Times New Roman" w:cs="Times New Roman"/>
        </w:rPr>
        <w:t xml:space="preserve"> </w:t>
      </w:r>
      <w:r w:rsidR="009F575E">
        <w:rPr>
          <w:rFonts w:eastAsia="Times New Roman" w:cs="Times New Roman"/>
        </w:rPr>
        <w:t>or</w:t>
      </w:r>
      <w:r w:rsidR="00556693">
        <w:rPr>
          <w:rFonts w:eastAsia="Times New Roman" w:cs="Times New Roman"/>
        </w:rPr>
        <w:t xml:space="preserve"> ‘good’ (the second h</w:t>
      </w:r>
      <w:r w:rsidR="00BE68F3">
        <w:rPr>
          <w:rFonts w:eastAsia="Times New Roman" w:cs="Times New Roman"/>
        </w:rPr>
        <w:t>i</w:t>
      </w:r>
      <w:r w:rsidR="00556693">
        <w:rPr>
          <w:rFonts w:eastAsia="Times New Roman" w:cs="Times New Roman"/>
        </w:rPr>
        <w:t>ghest rating)</w:t>
      </w:r>
      <w:r w:rsidR="00BE68F3">
        <w:rPr>
          <w:rFonts w:eastAsia="Times New Roman" w:cs="Times New Roman"/>
        </w:rPr>
        <w:t xml:space="preserve"> </w:t>
      </w:r>
      <w:r w:rsidR="009677FB">
        <w:rPr>
          <w:rFonts w:eastAsia="Times New Roman" w:cs="Times New Roman"/>
        </w:rPr>
        <w:t xml:space="preserve">in a </w:t>
      </w:r>
      <w:r>
        <w:rPr>
          <w:rFonts w:eastAsia="Times New Roman" w:cs="Times New Roman"/>
        </w:rPr>
        <w:t>feedback</w:t>
      </w:r>
      <w:r w:rsidR="009677FB">
        <w:rPr>
          <w:rFonts w:eastAsia="Times New Roman" w:cs="Times New Roman"/>
        </w:rPr>
        <w:t xml:space="preserve"> survey</w:t>
      </w:r>
      <w:r w:rsidR="00BE68F3">
        <w:rPr>
          <w:rFonts w:eastAsia="Times New Roman" w:cs="Times New Roman"/>
        </w:rPr>
        <w:t>.</w:t>
      </w:r>
    </w:p>
    <w:p w14:paraId="0EEACEF3" w14:textId="256CBA0F" w:rsidR="00DE1ECC" w:rsidRDefault="009677FB" w:rsidP="00C126D3">
      <w:pPr>
        <w:rPr>
          <w:rFonts w:eastAsia="Times New Roman" w:cs="Times New Roman"/>
        </w:rPr>
      </w:pPr>
      <w:r>
        <w:rPr>
          <w:rFonts w:eastAsia="Times New Roman" w:cs="Times New Roman"/>
        </w:rPr>
        <w:t>ARPC</w:t>
      </w:r>
      <w:r w:rsidR="00DE1ECC">
        <w:rPr>
          <w:rFonts w:eastAsia="Times New Roman" w:cs="Times New Roman"/>
        </w:rPr>
        <w:t xml:space="preserve">’s website has been redesigned to modernise its appearance, make it mobile and browser responsive, and to provide our stakeholders with a more seamless user journey. All content on our previous site, including the </w:t>
      </w:r>
      <w:proofErr w:type="spellStart"/>
      <w:r w:rsidR="00DE1ECC">
        <w:rPr>
          <w:rFonts w:eastAsia="Times New Roman" w:cs="Times New Roman"/>
        </w:rPr>
        <w:t>RISe</w:t>
      </w:r>
      <w:proofErr w:type="spellEnd"/>
      <w:r w:rsidR="00DE1ECC">
        <w:rPr>
          <w:rFonts w:eastAsia="Times New Roman" w:cs="Times New Roman"/>
        </w:rPr>
        <w:t xml:space="preserve"> Claims system, has been transferred to the new site, so you can continue your business as usual online.  ARPC commissioned Sydney-based web </w:t>
      </w:r>
      <w:proofErr w:type="gramStart"/>
      <w:r w:rsidR="00DE1ECC">
        <w:rPr>
          <w:rFonts w:eastAsia="Times New Roman" w:cs="Times New Roman"/>
        </w:rPr>
        <w:t>designers</w:t>
      </w:r>
      <w:proofErr w:type="gramEnd"/>
      <w:r w:rsidR="00DE1ECC">
        <w:rPr>
          <w:rFonts w:eastAsia="Times New Roman" w:cs="Times New Roman"/>
        </w:rPr>
        <w:t xml:space="preserve"> G Squared to develop the new website, after a comprehensive tender process.</w:t>
      </w:r>
    </w:p>
    <w:p w14:paraId="6B5E6C9C" w14:textId="7AD31B8D" w:rsidR="004D5EE6" w:rsidRDefault="003F353B" w:rsidP="004D5EE6">
      <w:r>
        <w:rPr>
          <w:rFonts w:eastAsia="Times New Roman" w:cs="Times New Roman"/>
        </w:rPr>
        <w:t>I</w:t>
      </w:r>
      <w:r w:rsidR="009F575E">
        <w:rPr>
          <w:rFonts w:eastAsia="Times New Roman" w:cs="Times New Roman"/>
        </w:rPr>
        <w:t>,</w:t>
      </w:r>
      <w:r w:rsidR="00C126D3">
        <w:rPr>
          <w:rFonts w:eastAsia="Times New Roman" w:cs="Times New Roman"/>
        </w:rPr>
        <w:t xml:space="preserve"> and ARPC Chief Underwriting Officer Michael Pennell</w:t>
      </w:r>
      <w:r w:rsidR="009F575E">
        <w:rPr>
          <w:rFonts w:eastAsia="Times New Roman" w:cs="Times New Roman"/>
        </w:rPr>
        <w:t>,</w:t>
      </w:r>
      <w:r w:rsidR="00C126D3">
        <w:rPr>
          <w:rFonts w:eastAsia="Times New Roman" w:cs="Times New Roman"/>
        </w:rPr>
        <w:t xml:space="preserve"> </w:t>
      </w:r>
      <w:r>
        <w:rPr>
          <w:rFonts w:eastAsia="Times New Roman" w:cs="Times New Roman"/>
        </w:rPr>
        <w:t xml:space="preserve">have </w:t>
      </w:r>
      <w:r w:rsidR="00C126D3">
        <w:rPr>
          <w:rFonts w:eastAsia="Times New Roman" w:cs="Times New Roman"/>
        </w:rPr>
        <w:t xml:space="preserve">recently returned from an annual trip </w:t>
      </w:r>
      <w:r w:rsidR="004D5EE6">
        <w:rPr>
          <w:rFonts w:eastAsia="Times New Roman" w:cs="Times New Roman"/>
        </w:rPr>
        <w:t xml:space="preserve">where we met with reinsurers in key markets </w:t>
      </w:r>
      <w:r w:rsidR="003D1622">
        <w:rPr>
          <w:rFonts w:eastAsia="Times New Roman" w:cs="Times New Roman"/>
        </w:rPr>
        <w:t>on the renewal</w:t>
      </w:r>
      <w:r w:rsidR="004D5EE6">
        <w:rPr>
          <w:rFonts w:eastAsia="Times New Roman" w:cs="Times New Roman"/>
        </w:rPr>
        <w:t xml:space="preserve"> of our retrocession program for the 2018 calendar year.  The terms of the program will be finalised shortly. We are grateful for the support of our global panel of almost 65 reinsurers.  </w:t>
      </w:r>
    </w:p>
    <w:p w14:paraId="0EEACEF5" w14:textId="5D8F88DC" w:rsidR="00C126D3" w:rsidRDefault="006D526B" w:rsidP="00C126D3">
      <w:pPr>
        <w:rPr>
          <w:rFonts w:eastAsia="Times New Roman" w:cs="Times New Roman"/>
        </w:rPr>
      </w:pPr>
      <w:r>
        <w:rPr>
          <w:rFonts w:eastAsia="Times New Roman" w:cs="Times New Roman"/>
        </w:rPr>
        <w:t>ARPC has published our Annual Report for the 2016-17 financial year</w:t>
      </w:r>
      <w:r w:rsidR="003F6503">
        <w:rPr>
          <w:rFonts w:eastAsia="Times New Roman" w:cs="Times New Roman"/>
        </w:rPr>
        <w:t xml:space="preserve"> </w:t>
      </w:r>
      <w:r>
        <w:rPr>
          <w:rFonts w:eastAsia="Times New Roman" w:cs="Times New Roman"/>
        </w:rPr>
        <w:t xml:space="preserve">which is available on our new website </w:t>
      </w:r>
      <w:hyperlink r:id="rId9" w:history="1">
        <w:r w:rsidRPr="003F6503">
          <w:rPr>
            <w:rStyle w:val="Hyperlink"/>
            <w:rFonts w:eastAsia="Times New Roman" w:cs="Times New Roman"/>
          </w:rPr>
          <w:t>here</w:t>
        </w:r>
      </w:hyperlink>
      <w:r>
        <w:rPr>
          <w:rFonts w:eastAsia="Times New Roman" w:cs="Times New Roman"/>
        </w:rPr>
        <w:t xml:space="preserve">. </w:t>
      </w:r>
    </w:p>
    <w:p w14:paraId="0EEACEF6" w14:textId="3BBE9D69" w:rsidR="003F6503" w:rsidRDefault="00E2148F" w:rsidP="00C126D3">
      <w:pPr>
        <w:rPr>
          <w:rFonts w:eastAsia="Times New Roman" w:cs="Times New Roman"/>
        </w:rPr>
      </w:pPr>
      <w:r>
        <w:rPr>
          <w:rFonts w:eastAsia="Times New Roman" w:cs="Times New Roman"/>
        </w:rPr>
        <w:t>Dr Christopher Wallace,</w:t>
      </w:r>
    </w:p>
    <w:p w14:paraId="1AA9898F" w14:textId="3E161255" w:rsidR="00E2148F" w:rsidRDefault="00E2148F" w:rsidP="00C126D3">
      <w:pPr>
        <w:rPr>
          <w:rFonts w:eastAsia="Times New Roman" w:cs="Times New Roman"/>
        </w:rPr>
      </w:pPr>
      <w:r>
        <w:rPr>
          <w:rFonts w:eastAsia="Times New Roman" w:cs="Times New Roman"/>
        </w:rPr>
        <w:t>Chief Executive Officer</w:t>
      </w:r>
    </w:p>
    <w:p w14:paraId="0EEACEF7" w14:textId="77777777" w:rsidR="003F6503" w:rsidRPr="003F6503" w:rsidRDefault="003F6503" w:rsidP="003F6503">
      <w:pPr>
        <w:keepNext/>
        <w:keepLines/>
        <w:spacing w:before="200" w:after="0"/>
        <w:outlineLvl w:val="1"/>
        <w:rPr>
          <w:rFonts w:ascii="Cambria" w:eastAsia="Times New Roman" w:hAnsi="Cambria" w:cs="Times New Roman"/>
          <w:b/>
          <w:bCs/>
          <w:color w:val="4F81BD" w:themeColor="accent1"/>
          <w:sz w:val="26"/>
          <w:szCs w:val="26"/>
        </w:rPr>
      </w:pPr>
      <w:r w:rsidRPr="003F6503">
        <w:rPr>
          <w:rFonts w:ascii="Cambria" w:eastAsia="Times New Roman" w:hAnsi="Cambria" w:cs="Times New Roman"/>
          <w:b/>
          <w:bCs/>
          <w:color w:val="4F81BD" w:themeColor="accent1"/>
          <w:sz w:val="26"/>
          <w:szCs w:val="26"/>
        </w:rPr>
        <w:t>Premium submissions due</w:t>
      </w:r>
    </w:p>
    <w:p w14:paraId="0EEACEF8" w14:textId="0FA6784B" w:rsidR="003F6503" w:rsidRPr="003F6503" w:rsidRDefault="003F6503" w:rsidP="003F6503">
      <w:pPr>
        <w:autoSpaceDE w:val="0"/>
        <w:autoSpaceDN w:val="0"/>
        <w:adjustRightInd w:val="0"/>
        <w:spacing w:after="0"/>
        <w:rPr>
          <w:rFonts w:ascii="Calibri-Bold" w:eastAsia="Times New Roman" w:hAnsi="Calibri-Bold" w:cs="Calibri-Bold"/>
          <w:b/>
          <w:bCs/>
          <w:color w:val="000000"/>
        </w:rPr>
      </w:pPr>
      <w:r w:rsidRPr="003F6503">
        <w:rPr>
          <w:rFonts w:ascii="Calibri" w:eastAsia="Times New Roman" w:hAnsi="Calibri" w:cs="Calibri"/>
          <w:color w:val="000000"/>
        </w:rPr>
        <w:t xml:space="preserve">Premium submissions for the second quarter (1 </w:t>
      </w:r>
      <w:r>
        <w:rPr>
          <w:rFonts w:ascii="Calibri" w:eastAsia="Times New Roman" w:hAnsi="Calibri" w:cs="Calibri"/>
          <w:color w:val="000000"/>
        </w:rPr>
        <w:t>October</w:t>
      </w:r>
      <w:r w:rsidR="003F353B">
        <w:rPr>
          <w:rFonts w:ascii="Calibri" w:eastAsia="Times New Roman" w:hAnsi="Calibri" w:cs="Calibri"/>
          <w:color w:val="000000"/>
        </w:rPr>
        <w:t xml:space="preserve"> </w:t>
      </w:r>
      <w:r>
        <w:rPr>
          <w:rFonts w:ascii="Calibri" w:eastAsia="Times New Roman" w:hAnsi="Calibri" w:cs="Calibri"/>
          <w:color w:val="000000"/>
        </w:rPr>
        <w:t>–</w:t>
      </w:r>
      <w:r w:rsidR="003F353B">
        <w:rPr>
          <w:rFonts w:ascii="Calibri" w:eastAsia="Times New Roman" w:hAnsi="Calibri" w:cs="Calibri"/>
          <w:color w:val="000000"/>
        </w:rPr>
        <w:t xml:space="preserve"> </w:t>
      </w:r>
      <w:r>
        <w:rPr>
          <w:rFonts w:ascii="Calibri" w:eastAsia="Times New Roman" w:hAnsi="Calibri" w:cs="Calibri"/>
          <w:color w:val="000000"/>
        </w:rPr>
        <w:t xml:space="preserve">31 December) of the </w:t>
      </w:r>
      <w:r w:rsidR="00D415E8">
        <w:rPr>
          <w:rFonts w:ascii="Calibri" w:eastAsia="Times New Roman" w:hAnsi="Calibri" w:cs="Calibri"/>
          <w:color w:val="000000"/>
        </w:rPr>
        <w:t>2017-2018</w:t>
      </w:r>
      <w:r w:rsidRPr="003F6503">
        <w:rPr>
          <w:rFonts w:ascii="Calibri" w:eastAsia="Times New Roman" w:hAnsi="Calibri" w:cs="Calibri"/>
          <w:color w:val="000000"/>
        </w:rPr>
        <w:t xml:space="preserve"> financial year are due by </w:t>
      </w:r>
      <w:r w:rsidR="00D415E8">
        <w:rPr>
          <w:rFonts w:ascii="Calibri" w:eastAsia="Times New Roman" w:hAnsi="Calibri" w:cs="Calibri"/>
          <w:color w:val="000000"/>
        </w:rPr>
        <w:t>30 January 2018</w:t>
      </w:r>
      <w:r w:rsidRPr="003F6503">
        <w:rPr>
          <w:rFonts w:ascii="Calibri" w:eastAsia="Times New Roman" w:hAnsi="Calibri" w:cs="Calibri"/>
          <w:color w:val="000000"/>
        </w:rPr>
        <w:t xml:space="preserve">. </w:t>
      </w:r>
      <w:r w:rsidRPr="003F6503">
        <w:rPr>
          <w:rFonts w:ascii="Calibri" w:eastAsia="Times New Roman" w:hAnsi="Calibri" w:cs="Calibri-Bold"/>
          <w:b/>
          <w:bCs/>
          <w:color w:val="000000"/>
        </w:rPr>
        <w:t xml:space="preserve">All premium submissions, including nil submissions, must be lodged by </w:t>
      </w:r>
      <w:r w:rsidR="00D415E8">
        <w:rPr>
          <w:rFonts w:ascii="Calibri" w:eastAsia="Times New Roman" w:hAnsi="Calibri" w:cs="Calibri-Bold"/>
          <w:b/>
          <w:bCs/>
          <w:color w:val="000000"/>
        </w:rPr>
        <w:t>this date</w:t>
      </w:r>
      <w:r w:rsidRPr="003F6503">
        <w:rPr>
          <w:rFonts w:ascii="Calibri" w:eastAsia="Times New Roman" w:hAnsi="Calibri" w:cs="Calibri-Bold"/>
          <w:b/>
          <w:bCs/>
          <w:color w:val="000000"/>
        </w:rPr>
        <w:t>.</w:t>
      </w:r>
    </w:p>
    <w:p w14:paraId="0EEACEF9" w14:textId="77777777" w:rsidR="003F6503" w:rsidRPr="003F6503" w:rsidRDefault="003F6503" w:rsidP="003F6503">
      <w:pPr>
        <w:autoSpaceDE w:val="0"/>
        <w:autoSpaceDN w:val="0"/>
        <w:adjustRightInd w:val="0"/>
        <w:spacing w:after="0"/>
        <w:rPr>
          <w:rFonts w:ascii="Calibri" w:eastAsia="Times New Roman" w:hAnsi="Calibri" w:cs="Calibri"/>
          <w:color w:val="000000"/>
        </w:rPr>
      </w:pPr>
    </w:p>
    <w:p w14:paraId="0EEACEFA" w14:textId="0728CB2D" w:rsidR="003F6503" w:rsidRPr="003F6503" w:rsidRDefault="003F6503" w:rsidP="003F6503">
      <w:pPr>
        <w:autoSpaceDE w:val="0"/>
        <w:autoSpaceDN w:val="0"/>
        <w:adjustRightInd w:val="0"/>
        <w:spacing w:after="0"/>
        <w:rPr>
          <w:rFonts w:ascii="Calibri" w:eastAsia="Times New Roman" w:hAnsi="Calibri" w:cs="Times New Roman"/>
        </w:rPr>
      </w:pPr>
      <w:r w:rsidRPr="003F6503">
        <w:rPr>
          <w:rFonts w:ascii="Calibri" w:eastAsia="Times New Roman" w:hAnsi="Calibri" w:cs="Calibri"/>
          <w:color w:val="000000"/>
        </w:rPr>
        <w:t xml:space="preserve">To submit a premium please log into </w:t>
      </w:r>
      <w:hyperlink r:id="rId10" w:history="1">
        <w:r w:rsidR="00EB556D" w:rsidRPr="00D235E6">
          <w:rPr>
            <w:rStyle w:val="Hyperlink"/>
            <w:rFonts w:ascii="Calibri" w:eastAsia="Times New Roman" w:hAnsi="Calibri" w:cs="Times New Roman"/>
          </w:rPr>
          <w:t>http://arpc.gov.au/our-customers/rise-login/</w:t>
        </w:r>
      </w:hyperlink>
      <w:r w:rsidR="00EB556D">
        <w:rPr>
          <w:rFonts w:ascii="Calibri" w:eastAsia="Times New Roman" w:hAnsi="Calibri" w:cs="Times New Roman"/>
        </w:rPr>
        <w:t xml:space="preserve"> </w:t>
      </w:r>
      <w:r w:rsidRPr="003F6503">
        <w:rPr>
          <w:rFonts w:ascii="Calibri" w:eastAsia="Times New Roman" w:hAnsi="Calibri" w:cs="Calibri"/>
          <w:color w:val="000000"/>
        </w:rPr>
        <w:t xml:space="preserve">and </w:t>
      </w:r>
      <w:r w:rsidR="00BE68F3">
        <w:rPr>
          <w:rFonts w:ascii="Calibri" w:eastAsia="Times New Roman" w:hAnsi="Calibri" w:cs="Calibri"/>
          <w:color w:val="000000"/>
        </w:rPr>
        <w:t xml:space="preserve">select </w:t>
      </w:r>
      <w:r w:rsidRPr="003F6503">
        <w:rPr>
          <w:rFonts w:ascii="Calibri" w:eastAsia="Times New Roman" w:hAnsi="Calibri" w:cs="Calibri"/>
          <w:color w:val="000000"/>
        </w:rPr>
        <w:t>download templates. For further instructions</w:t>
      </w:r>
      <w:r w:rsidR="003F353B">
        <w:rPr>
          <w:rFonts w:ascii="Calibri" w:eastAsia="Times New Roman" w:hAnsi="Calibri" w:cs="Calibri"/>
          <w:color w:val="000000"/>
        </w:rPr>
        <w:t>,</w:t>
      </w:r>
      <w:r w:rsidRPr="003F6503">
        <w:rPr>
          <w:rFonts w:ascii="Calibri" w:eastAsia="Times New Roman" w:hAnsi="Calibri" w:cs="Calibri"/>
          <w:color w:val="000000"/>
        </w:rPr>
        <w:t xml:space="preserve"> please refer to page 27 of the </w:t>
      </w:r>
      <w:proofErr w:type="spellStart"/>
      <w:r w:rsidRPr="003F6503">
        <w:rPr>
          <w:rFonts w:ascii="Calibri" w:eastAsia="Times New Roman" w:hAnsi="Calibri" w:cs="Calibri"/>
          <w:color w:val="000000"/>
        </w:rPr>
        <w:t>RISe</w:t>
      </w:r>
      <w:proofErr w:type="spellEnd"/>
      <w:r w:rsidRPr="003F6503">
        <w:rPr>
          <w:rFonts w:ascii="Calibri" w:eastAsia="Times New Roman" w:hAnsi="Calibri" w:cs="Calibri"/>
          <w:color w:val="000000"/>
        </w:rPr>
        <w:t xml:space="preserve"> </w:t>
      </w:r>
      <w:proofErr w:type="spellStart"/>
      <w:r w:rsidRPr="003F6503">
        <w:rPr>
          <w:rFonts w:ascii="Calibri" w:eastAsia="Times New Roman" w:hAnsi="Calibri" w:cs="Calibri"/>
          <w:color w:val="000000"/>
        </w:rPr>
        <w:t>Cedant</w:t>
      </w:r>
      <w:proofErr w:type="spellEnd"/>
      <w:r w:rsidRPr="003F6503">
        <w:rPr>
          <w:rFonts w:ascii="Calibri" w:eastAsia="Times New Roman" w:hAnsi="Calibri" w:cs="Calibri"/>
          <w:color w:val="000000"/>
        </w:rPr>
        <w:t xml:space="preserve"> User Manual</w:t>
      </w:r>
      <w:r w:rsidR="003D2D6B">
        <w:rPr>
          <w:rFonts w:ascii="Calibri" w:eastAsia="Times New Roman" w:hAnsi="Calibri" w:cs="Calibri"/>
          <w:color w:val="000000"/>
        </w:rPr>
        <w:t xml:space="preserve"> </w:t>
      </w:r>
      <w:hyperlink r:id="rId11" w:history="1">
        <w:r w:rsidR="003D2D6B" w:rsidRPr="003D2D6B">
          <w:rPr>
            <w:rStyle w:val="Hyperlink"/>
            <w:rFonts w:ascii="Calibri" w:eastAsia="Times New Roman" w:hAnsi="Calibri" w:cs="Calibri"/>
          </w:rPr>
          <w:t>here</w:t>
        </w:r>
      </w:hyperlink>
      <w:r w:rsidR="003D2D6B">
        <w:rPr>
          <w:rFonts w:ascii="Calibri" w:eastAsia="Times New Roman" w:hAnsi="Calibri" w:cs="Calibri"/>
          <w:color w:val="000000"/>
        </w:rPr>
        <w:t>.</w:t>
      </w:r>
    </w:p>
    <w:p w14:paraId="0EEACEFB" w14:textId="77777777" w:rsidR="003F6503" w:rsidRPr="003F6503" w:rsidRDefault="003F6503" w:rsidP="003F6503">
      <w:pPr>
        <w:autoSpaceDE w:val="0"/>
        <w:autoSpaceDN w:val="0"/>
        <w:adjustRightInd w:val="0"/>
        <w:spacing w:after="0" w:line="240" w:lineRule="auto"/>
        <w:rPr>
          <w:rFonts w:ascii="Calibri" w:eastAsia="Times New Roman" w:hAnsi="Calibri" w:cs="Calibri"/>
          <w:color w:val="000000"/>
        </w:rPr>
      </w:pPr>
    </w:p>
    <w:p w14:paraId="0EEACEFC" w14:textId="77777777" w:rsidR="003F6503" w:rsidRPr="003F6503" w:rsidRDefault="003F6503" w:rsidP="003F6503">
      <w:pPr>
        <w:autoSpaceDE w:val="0"/>
        <w:autoSpaceDN w:val="0"/>
        <w:adjustRightInd w:val="0"/>
        <w:spacing w:after="0" w:line="240" w:lineRule="auto"/>
        <w:rPr>
          <w:rFonts w:ascii="Calibri" w:eastAsia="Times New Roman" w:hAnsi="Calibri" w:cs="Calibri"/>
          <w:color w:val="000000"/>
        </w:rPr>
      </w:pPr>
      <w:r w:rsidRPr="003F6503">
        <w:rPr>
          <w:rFonts w:ascii="Calibri" w:eastAsia="Times New Roman" w:hAnsi="Calibri" w:cs="Calibri"/>
          <w:color w:val="000000"/>
        </w:rPr>
        <w:t xml:space="preserve">If you have any questions please contact </w:t>
      </w:r>
      <w:hyperlink r:id="rId12" w:history="1">
        <w:r w:rsidRPr="003F6503">
          <w:rPr>
            <w:rFonts w:ascii="Calibri" w:eastAsia="Times New Roman" w:hAnsi="Calibri" w:cs="Calibri"/>
            <w:color w:val="0000FF" w:themeColor="hyperlink"/>
            <w:u w:val="single"/>
          </w:rPr>
          <w:t>accounts@arpc.gov.au</w:t>
        </w:r>
      </w:hyperlink>
      <w:r w:rsidRPr="003F6503">
        <w:rPr>
          <w:rFonts w:ascii="Calibri" w:eastAsia="Times New Roman" w:hAnsi="Calibri" w:cs="Calibri"/>
          <w:color w:val="000000"/>
        </w:rPr>
        <w:t xml:space="preserve"> or call +61 2 8223-6777.</w:t>
      </w:r>
    </w:p>
    <w:p w14:paraId="08896C0C" w14:textId="1B02B817" w:rsidR="004A3D9C" w:rsidRDefault="004A3D9C"/>
    <w:p w14:paraId="6D509C11" w14:textId="38ECB829" w:rsidR="007A4E87" w:rsidRDefault="007A4E87" w:rsidP="00232D93"/>
    <w:p w14:paraId="6C61DF6C" w14:textId="5227BFA3" w:rsidR="00B05719" w:rsidRDefault="00045832" w:rsidP="00232D93">
      <w:r>
        <w:rPr>
          <w:noProof/>
        </w:rPr>
        <w:drawing>
          <wp:inline distT="0" distB="0" distL="0" distR="0" wp14:anchorId="62A50C64" wp14:editId="4D83569B">
            <wp:extent cx="2457450" cy="2605834"/>
            <wp:effectExtent l="0" t="0" r="0" b="4445"/>
            <wp:docPr id="3" name="Picture 3" descr="A person wearing a suit and ti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hrisWallace_IanCarson_ARPCSEM.jpg"/>
                    <pic:cNvPicPr/>
                  </pic:nvPicPr>
                  <pic:blipFill>
                    <a:blip r:embed="rId13"/>
                    <a:stretch>
                      <a:fillRect/>
                    </a:stretch>
                  </pic:blipFill>
                  <pic:spPr>
                    <a:xfrm>
                      <a:off x="0" y="0"/>
                      <a:ext cx="2461933" cy="2610588"/>
                    </a:xfrm>
                    <a:prstGeom prst="rect">
                      <a:avLst/>
                    </a:prstGeom>
                  </pic:spPr>
                </pic:pic>
              </a:graphicData>
            </a:graphic>
          </wp:inline>
        </w:drawing>
      </w:r>
    </w:p>
    <w:p w14:paraId="2D0A7087" w14:textId="4F0A7EC2" w:rsidR="00065DD8" w:rsidRDefault="00045832" w:rsidP="00527C51">
      <w:r w:rsidRPr="00527C51">
        <w:rPr>
          <w:b/>
        </w:rPr>
        <w:t>Above:</w:t>
      </w:r>
      <w:r w:rsidRPr="00527C51">
        <w:t xml:space="preserve"> ARPC CEO Dr Christopher Wallace and ARPC Chair Ian Carson AM opening the ARPC Terrorism Risk Insurance Seminar.</w:t>
      </w:r>
    </w:p>
    <w:p w14:paraId="5CEA87FC" w14:textId="6162F97F" w:rsidR="00DC63DE" w:rsidRDefault="00DC63DE" w:rsidP="00DC63DE">
      <w:pPr>
        <w:pStyle w:val="Heading2"/>
      </w:pPr>
      <w:r>
        <w:t>Terrorism Risk Insurance Seminar highlights</w:t>
      </w:r>
    </w:p>
    <w:p w14:paraId="0535675A" w14:textId="59A54EC4" w:rsidR="00FE48EC" w:rsidRDefault="00DC63DE" w:rsidP="00232D93">
      <w:r>
        <w:t xml:space="preserve">ARPC hosted its second Terrorism Risk Insurance Seminar at </w:t>
      </w:r>
      <w:r w:rsidR="00EA6151">
        <w:t xml:space="preserve">NSW </w:t>
      </w:r>
      <w:r>
        <w:t xml:space="preserve">Parliament House, Sydney </w:t>
      </w:r>
      <w:r w:rsidR="00EA6151">
        <w:t xml:space="preserve">in </w:t>
      </w:r>
      <w:r>
        <w:t>Octo</w:t>
      </w:r>
      <w:r w:rsidR="00EA6151">
        <w:t>ber</w:t>
      </w:r>
      <w:r w:rsidR="003D1622">
        <w:t>.</w:t>
      </w:r>
      <w:r w:rsidR="00D10FF1">
        <w:t xml:space="preserve"> </w:t>
      </w:r>
    </w:p>
    <w:p w14:paraId="65E3DD60" w14:textId="35CB89A6" w:rsidR="00FE48EC" w:rsidRDefault="00EA6151" w:rsidP="00232D93">
      <w:r>
        <w:t>Delegates found</w:t>
      </w:r>
      <w:r w:rsidR="00265B1E">
        <w:t xml:space="preserve"> presentations by the Lowy Institute’s Anthony </w:t>
      </w:r>
      <w:proofErr w:type="spellStart"/>
      <w:r w:rsidR="00265B1E">
        <w:t>Bubalo</w:t>
      </w:r>
      <w:proofErr w:type="spellEnd"/>
      <w:r w:rsidR="00265B1E">
        <w:t xml:space="preserve"> and </w:t>
      </w:r>
      <w:r>
        <w:t xml:space="preserve">the </w:t>
      </w:r>
      <w:r w:rsidR="00265B1E">
        <w:t>Australian Strategic Policy Institute’s Dr Anthony B</w:t>
      </w:r>
      <w:r w:rsidR="005C50C8">
        <w:t>ergin particularly interesting</w:t>
      </w:r>
      <w:r>
        <w:t xml:space="preserve">. </w:t>
      </w:r>
      <w:r w:rsidR="00675E5F">
        <w:t xml:space="preserve">A presentation by </w:t>
      </w:r>
      <w:r w:rsidR="005C50C8">
        <w:t xml:space="preserve">Levi West </w:t>
      </w:r>
      <w:r w:rsidR="00675E5F">
        <w:t>from</w:t>
      </w:r>
      <w:r w:rsidR="005C50C8">
        <w:t xml:space="preserve"> Charles Sturt University was </w:t>
      </w:r>
      <w:r w:rsidR="003D1622">
        <w:t>highly regarded</w:t>
      </w:r>
      <w:r w:rsidR="005C50C8">
        <w:t xml:space="preserve"> for</w:t>
      </w:r>
      <w:r w:rsidR="00675E5F">
        <w:t xml:space="preserve"> its</w:t>
      </w:r>
      <w:r w:rsidR="005C50C8">
        <w:t xml:space="preserve"> insights into terrorist offensive cyber capabilities.</w:t>
      </w:r>
      <w:r w:rsidR="006F22B1">
        <w:t xml:space="preserve"> </w:t>
      </w:r>
    </w:p>
    <w:p w14:paraId="36F7E2E0" w14:textId="19518C91" w:rsidR="00DC63DE" w:rsidRDefault="006F22B1" w:rsidP="00232D93">
      <w:r>
        <w:t>A conversation between</w:t>
      </w:r>
      <w:r w:rsidR="005C50C8">
        <w:t xml:space="preserve"> </w:t>
      </w:r>
      <w:r w:rsidR="00EA6151">
        <w:t>ARPC CEO Dr Christopher Wallace</w:t>
      </w:r>
      <w:r w:rsidR="00675E5F">
        <w:t xml:space="preserve"> and </w:t>
      </w:r>
      <w:r>
        <w:t xml:space="preserve">HDI </w:t>
      </w:r>
      <w:proofErr w:type="spellStart"/>
      <w:r>
        <w:t>Global’s</w:t>
      </w:r>
      <w:proofErr w:type="spellEnd"/>
      <w:r>
        <w:t xml:space="preserve"> Head of Crisis Management and Cyber Underwriting </w:t>
      </w:r>
      <w:r w:rsidR="00675E5F">
        <w:t>Karina Rodriguez</w:t>
      </w:r>
      <w:r>
        <w:t xml:space="preserve"> Diaz </w:t>
      </w:r>
      <w:r w:rsidR="00675E5F">
        <w:t>was thought provoking for its commentary on the private re/insurance sector’s coverage of terrorism and related events.</w:t>
      </w:r>
    </w:p>
    <w:p w14:paraId="0DD13167" w14:textId="41E9AF6E" w:rsidR="00064880" w:rsidRDefault="000803D7" w:rsidP="00232D93">
      <w:r>
        <w:t>ARPC posted several</w:t>
      </w:r>
      <w:r w:rsidR="00675E5F">
        <w:t xml:space="preserve"> Seminar </w:t>
      </w:r>
      <w:r>
        <w:t>presentation</w:t>
      </w:r>
      <w:r w:rsidR="00AC003E">
        <w:t xml:space="preserve"> articles</w:t>
      </w:r>
      <w:r w:rsidR="00675E5F">
        <w:t xml:space="preserve"> </w:t>
      </w:r>
      <w:r>
        <w:t xml:space="preserve">on our new </w:t>
      </w:r>
      <w:r w:rsidR="00675E5F">
        <w:t xml:space="preserve">ARPC </w:t>
      </w:r>
      <w:proofErr w:type="spellStart"/>
      <w:r>
        <w:t>Linkedin</w:t>
      </w:r>
      <w:proofErr w:type="spellEnd"/>
      <w:r>
        <w:t xml:space="preserve"> page</w:t>
      </w:r>
      <w:r w:rsidR="006F22B1">
        <w:t>,</w:t>
      </w:r>
      <w:r>
        <w:t xml:space="preserve"> which can be viewed </w:t>
      </w:r>
      <w:hyperlink r:id="rId14" w:history="1">
        <w:r w:rsidRPr="000803D7">
          <w:rPr>
            <w:rStyle w:val="Hyperlink"/>
          </w:rPr>
          <w:t>here</w:t>
        </w:r>
      </w:hyperlink>
      <w:r>
        <w:t xml:space="preserve">. </w:t>
      </w:r>
    </w:p>
    <w:p w14:paraId="2720A545" w14:textId="0500EF78" w:rsidR="005C50C8" w:rsidRDefault="005C50C8" w:rsidP="00232D93">
      <w:r>
        <w:t xml:space="preserve">ARPC would like to thank all </w:t>
      </w:r>
      <w:r w:rsidR="00675E5F">
        <w:t xml:space="preserve">Seminar </w:t>
      </w:r>
      <w:r>
        <w:t xml:space="preserve">attendees </w:t>
      </w:r>
      <w:r w:rsidR="00064880">
        <w:t>for their support. We would also like to thank those who took the time to complete the feedback survey</w:t>
      </w:r>
      <w:r w:rsidR="006F22B1">
        <w:t>,</w:t>
      </w:r>
      <w:r w:rsidR="00064880">
        <w:t xml:space="preserve"> which will assist us </w:t>
      </w:r>
      <w:r w:rsidR="00675E5F">
        <w:t xml:space="preserve">in </w:t>
      </w:r>
      <w:r w:rsidR="00064880">
        <w:t>mak</w:t>
      </w:r>
      <w:r w:rsidR="00675E5F">
        <w:t>ing</w:t>
      </w:r>
      <w:r w:rsidR="00064880">
        <w:t xml:space="preserve"> the event even better next year. </w:t>
      </w:r>
    </w:p>
    <w:p w14:paraId="0FEF73EA" w14:textId="1335A07B" w:rsidR="00045832" w:rsidRDefault="00045832" w:rsidP="00232D93"/>
    <w:p w14:paraId="150FECFB" w14:textId="77777777" w:rsidR="00634559" w:rsidRDefault="00634559" w:rsidP="00232D93">
      <w:bookmarkStart w:id="0" w:name="_GoBack"/>
      <w:bookmarkEnd w:id="0"/>
    </w:p>
    <w:p w14:paraId="0EEACF03" w14:textId="2B50446B" w:rsidR="00EB556D" w:rsidRDefault="00EB556D" w:rsidP="00EB556D">
      <w:pPr>
        <w:pStyle w:val="Heading2"/>
      </w:pPr>
      <w:r>
        <w:t>Q&amp;A</w:t>
      </w:r>
    </w:p>
    <w:p w14:paraId="52E394D1" w14:textId="2C8AAF94" w:rsidR="003624A0" w:rsidRDefault="003624A0" w:rsidP="003624A0">
      <w:pPr>
        <w:ind w:left="720" w:hanging="720"/>
      </w:pPr>
      <w:r>
        <w:rPr>
          <w:b/>
          <w:bCs/>
          <w:color w:val="4F81BD" w:themeColor="accent1"/>
        </w:rPr>
        <w:t xml:space="preserve">Q: </w:t>
      </w:r>
      <w:r>
        <w:tab/>
        <w:t xml:space="preserve">In </w:t>
      </w:r>
      <w:r w:rsidR="00670E8E">
        <w:t>an Event Cancellation P</w:t>
      </w:r>
      <w:r>
        <w:t>olicy</w:t>
      </w:r>
      <w:r w:rsidR="00670E8E">
        <w:t>,</w:t>
      </w:r>
      <w:r>
        <w:t xml:space="preserve"> does an insured</w:t>
      </w:r>
      <w:r w:rsidR="00675E5F">
        <w:t xml:space="preserve"> </w:t>
      </w:r>
      <w:proofErr w:type="gramStart"/>
      <w:r w:rsidR="00675E5F">
        <w:t>have to</w:t>
      </w:r>
      <w:proofErr w:type="gramEnd"/>
      <w:r w:rsidR="00675E5F">
        <w:t xml:space="preserve"> </w:t>
      </w:r>
      <w:r>
        <w:t xml:space="preserve">occupy eligible property in order </w:t>
      </w:r>
      <w:r w:rsidR="00670E8E">
        <w:t xml:space="preserve">to be covered, in the event of a Declared Terrorist Incident (DTI), by the </w:t>
      </w:r>
      <w:r w:rsidR="00670E8E" w:rsidRPr="002E455B">
        <w:rPr>
          <w:i/>
        </w:rPr>
        <w:t>Terrorism Insurance Act 2003</w:t>
      </w:r>
      <w:r w:rsidR="00670E8E">
        <w:t xml:space="preserve"> (the Act)? </w:t>
      </w:r>
    </w:p>
    <w:p w14:paraId="7FD0FB4D" w14:textId="5F7E9C07" w:rsidR="003624A0" w:rsidRDefault="003624A0" w:rsidP="003624A0">
      <w:pPr>
        <w:ind w:left="720" w:hanging="720"/>
      </w:pPr>
      <w:r>
        <w:rPr>
          <w:b/>
          <w:color w:val="4F81BD" w:themeColor="accent1"/>
        </w:rPr>
        <w:t>A:</w:t>
      </w:r>
      <w:r>
        <w:t xml:space="preserve"> </w:t>
      </w:r>
      <w:r>
        <w:tab/>
        <w:t xml:space="preserve">For an </w:t>
      </w:r>
      <w:r w:rsidR="00670E8E">
        <w:t>E</w:t>
      </w:r>
      <w:r>
        <w:t xml:space="preserve">vents </w:t>
      </w:r>
      <w:r w:rsidR="00670E8E">
        <w:t>P</w:t>
      </w:r>
      <w:r>
        <w:t>olicy to be an eligible insurance contract under the Act, the policy must cover business interruption and consequential loss arising from the inability to use eligible property occupied by the insured.</w:t>
      </w:r>
      <w:r w:rsidR="001978D7">
        <w:t xml:space="preserve"> The insured must be in actual possession of the eligible property</w:t>
      </w:r>
      <w:r w:rsidR="000803D7">
        <w:t>. The phrase “is occupied” refers to the present tense (in actual possession) and not future tense (will be occupied).</w:t>
      </w:r>
    </w:p>
    <w:p w14:paraId="63C51437" w14:textId="4ABA7967" w:rsidR="004A3D9C" w:rsidRDefault="004A3D9C" w:rsidP="004A3D9C">
      <w:pPr>
        <w:shd w:val="clear" w:color="auto" w:fill="FFFFFF"/>
        <w:rPr>
          <w:lang w:val="en-US"/>
        </w:rPr>
      </w:pPr>
    </w:p>
    <w:p w14:paraId="6ED04E70" w14:textId="6C313F81" w:rsidR="00553760" w:rsidRDefault="00553760" w:rsidP="004A3D9C">
      <w:pPr>
        <w:shd w:val="clear" w:color="auto" w:fill="FFFFFF"/>
        <w:rPr>
          <w:lang w:val="en-US"/>
        </w:rPr>
      </w:pPr>
      <w:r>
        <w:rPr>
          <w:noProof/>
          <w:lang w:val="en-US"/>
        </w:rPr>
        <w:drawing>
          <wp:inline distT="0" distB="0" distL="0" distR="0" wp14:anchorId="67D453EF" wp14:editId="0A0490BC">
            <wp:extent cx="1885950" cy="2357542"/>
            <wp:effectExtent l="0" t="0" r="0" b="5080"/>
            <wp:docPr id="1" name="Picture 1" descr="A person and person posing for a pictur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keandJessie.jpg"/>
                    <pic:cNvPicPr/>
                  </pic:nvPicPr>
                  <pic:blipFill>
                    <a:blip r:embed="rId15"/>
                    <a:stretch>
                      <a:fillRect/>
                    </a:stretch>
                  </pic:blipFill>
                  <pic:spPr>
                    <a:xfrm>
                      <a:off x="0" y="0"/>
                      <a:ext cx="1891445" cy="2364411"/>
                    </a:xfrm>
                    <a:prstGeom prst="rect">
                      <a:avLst/>
                    </a:prstGeom>
                  </pic:spPr>
                </pic:pic>
              </a:graphicData>
            </a:graphic>
          </wp:inline>
        </w:drawing>
      </w:r>
    </w:p>
    <w:p w14:paraId="385E3572" w14:textId="3B58E0ED" w:rsidR="00553760" w:rsidRDefault="00553760" w:rsidP="004A3D9C">
      <w:pPr>
        <w:shd w:val="clear" w:color="auto" w:fill="FFFFFF"/>
        <w:rPr>
          <w:lang w:val="en-US"/>
        </w:rPr>
      </w:pPr>
      <w:r>
        <w:rPr>
          <w:lang w:val="en-US"/>
        </w:rPr>
        <w:t>From left: ARPC’s Advisor, Insurance Audit and Claims Jessie Khan and ARPC’s General Manager Insurance Audit and Claims, Michael Stallworthy.</w:t>
      </w:r>
    </w:p>
    <w:p w14:paraId="5BB9AA61" w14:textId="77777777" w:rsidR="00B00679" w:rsidRDefault="00B00679" w:rsidP="004A3D9C">
      <w:pPr>
        <w:shd w:val="clear" w:color="auto" w:fill="FFFFFF"/>
        <w:rPr>
          <w:lang w:val="en-US"/>
        </w:rPr>
      </w:pPr>
    </w:p>
    <w:p w14:paraId="55E58BC5" w14:textId="2EC6D770" w:rsidR="004A3D9C" w:rsidRDefault="004A3D9C" w:rsidP="004A3D9C">
      <w:pPr>
        <w:pStyle w:val="Heading2"/>
        <w:rPr>
          <w:lang w:val="en-US"/>
        </w:rPr>
      </w:pPr>
      <w:r>
        <w:rPr>
          <w:lang w:val="en-US"/>
        </w:rPr>
        <w:t xml:space="preserve">Explaining ARPC’s </w:t>
      </w:r>
      <w:proofErr w:type="spellStart"/>
      <w:r w:rsidR="00670E8E">
        <w:rPr>
          <w:lang w:val="en-US"/>
        </w:rPr>
        <w:t>C</w:t>
      </w:r>
      <w:r>
        <w:rPr>
          <w:lang w:val="en-US"/>
        </w:rPr>
        <w:t>edant</w:t>
      </w:r>
      <w:proofErr w:type="spellEnd"/>
      <w:r>
        <w:rPr>
          <w:lang w:val="en-US"/>
        </w:rPr>
        <w:t xml:space="preserve"> </w:t>
      </w:r>
      <w:r w:rsidR="00670E8E">
        <w:rPr>
          <w:lang w:val="en-US"/>
        </w:rPr>
        <w:t>R</w:t>
      </w:r>
      <w:r>
        <w:rPr>
          <w:lang w:val="en-US"/>
        </w:rPr>
        <w:t xml:space="preserve">eview </w:t>
      </w:r>
      <w:r w:rsidR="00670E8E">
        <w:rPr>
          <w:lang w:val="en-US"/>
        </w:rPr>
        <w:t>P</w:t>
      </w:r>
      <w:r>
        <w:rPr>
          <w:lang w:val="en-US"/>
        </w:rPr>
        <w:t>rogram</w:t>
      </w:r>
    </w:p>
    <w:p w14:paraId="7A61137F" w14:textId="5CD2E6DF" w:rsidR="004A3D9C" w:rsidRDefault="004A3D9C" w:rsidP="004A3D9C">
      <w:pPr>
        <w:shd w:val="clear" w:color="auto" w:fill="FFFFFF"/>
        <w:rPr>
          <w:lang w:val="en-US"/>
        </w:rPr>
      </w:pPr>
      <w:r>
        <w:rPr>
          <w:lang w:val="en-US"/>
        </w:rPr>
        <w:t xml:space="preserve">ARPC introduced its </w:t>
      </w:r>
      <w:proofErr w:type="spellStart"/>
      <w:r w:rsidR="00670E8E">
        <w:rPr>
          <w:lang w:val="en-US"/>
        </w:rPr>
        <w:t>C</w:t>
      </w:r>
      <w:r>
        <w:rPr>
          <w:lang w:val="en-US"/>
        </w:rPr>
        <w:t>edant</w:t>
      </w:r>
      <w:proofErr w:type="spellEnd"/>
      <w:r>
        <w:rPr>
          <w:lang w:val="en-US"/>
        </w:rPr>
        <w:t xml:space="preserve"> </w:t>
      </w:r>
      <w:r w:rsidR="00670E8E">
        <w:rPr>
          <w:lang w:val="en-US"/>
        </w:rPr>
        <w:t>R</w:t>
      </w:r>
      <w:r>
        <w:rPr>
          <w:lang w:val="en-US"/>
        </w:rPr>
        <w:t xml:space="preserve">eview </w:t>
      </w:r>
      <w:r w:rsidR="00670E8E">
        <w:rPr>
          <w:lang w:val="en-US"/>
        </w:rPr>
        <w:t>P</w:t>
      </w:r>
      <w:r>
        <w:rPr>
          <w:lang w:val="en-US"/>
        </w:rPr>
        <w:t xml:space="preserve">rogram to </w:t>
      </w:r>
      <w:r w:rsidR="00AC003E">
        <w:rPr>
          <w:lang w:val="en-US"/>
        </w:rPr>
        <w:t>help</w:t>
      </w:r>
      <w:r>
        <w:rPr>
          <w:lang w:val="en-US"/>
        </w:rPr>
        <w:t xml:space="preserve"> </w:t>
      </w:r>
      <w:r w:rsidR="003D1622">
        <w:rPr>
          <w:lang w:val="en-US"/>
        </w:rPr>
        <w:t xml:space="preserve">our insurers </w:t>
      </w:r>
      <w:r>
        <w:rPr>
          <w:lang w:val="en-US"/>
        </w:rPr>
        <w:t xml:space="preserve">meet </w:t>
      </w:r>
      <w:r w:rsidR="00212B95">
        <w:rPr>
          <w:lang w:val="en-US"/>
        </w:rPr>
        <w:t xml:space="preserve">their </w:t>
      </w:r>
      <w:r>
        <w:rPr>
          <w:lang w:val="en-US"/>
        </w:rPr>
        <w:t>obligations under the Reinsurance Agreement</w:t>
      </w:r>
      <w:r w:rsidR="00212B95">
        <w:rPr>
          <w:lang w:val="en-US"/>
        </w:rPr>
        <w:t xml:space="preserve"> as well as to</w:t>
      </w:r>
      <w:r w:rsidR="00BC771A">
        <w:rPr>
          <w:lang w:val="en-US"/>
        </w:rPr>
        <w:t xml:space="preserve"> strengthen </w:t>
      </w:r>
      <w:r w:rsidR="009F575E">
        <w:rPr>
          <w:lang w:val="en-US"/>
        </w:rPr>
        <w:t xml:space="preserve">ARPC’s </w:t>
      </w:r>
      <w:r w:rsidR="00BC771A">
        <w:rPr>
          <w:lang w:val="en-US"/>
        </w:rPr>
        <w:t>relationship with them</w:t>
      </w:r>
      <w:r>
        <w:rPr>
          <w:lang w:val="en-US"/>
        </w:rPr>
        <w:t xml:space="preserve">. </w:t>
      </w:r>
      <w:r w:rsidR="00BC771A">
        <w:rPr>
          <w:lang w:val="en-US"/>
        </w:rPr>
        <w:t xml:space="preserve">This is done through </w:t>
      </w:r>
      <w:r w:rsidR="009F575E">
        <w:rPr>
          <w:lang w:val="en-US"/>
        </w:rPr>
        <w:t xml:space="preserve">helping </w:t>
      </w:r>
      <w:proofErr w:type="spellStart"/>
      <w:r w:rsidR="009F575E">
        <w:rPr>
          <w:lang w:val="en-US"/>
        </w:rPr>
        <w:t>cedants</w:t>
      </w:r>
      <w:proofErr w:type="spellEnd"/>
      <w:r>
        <w:rPr>
          <w:lang w:val="en-US"/>
        </w:rPr>
        <w:t xml:space="preserve"> </w:t>
      </w:r>
      <w:r w:rsidR="00BC771A">
        <w:rPr>
          <w:lang w:val="en-US"/>
        </w:rPr>
        <w:t>understand the</w:t>
      </w:r>
      <w:r>
        <w:rPr>
          <w:lang w:val="en-US"/>
        </w:rPr>
        <w:t xml:space="preserve"> process involved in identif</w:t>
      </w:r>
      <w:r w:rsidR="00AC003E">
        <w:rPr>
          <w:lang w:val="en-US"/>
        </w:rPr>
        <w:t>ying</w:t>
      </w:r>
      <w:r>
        <w:rPr>
          <w:lang w:val="en-US"/>
        </w:rPr>
        <w:t xml:space="preserve"> eligible insurance contracts, premium calculation and premium remittance. ARPC appreciates the welcome extended to its review team</w:t>
      </w:r>
      <w:r w:rsidR="00052E85">
        <w:rPr>
          <w:lang w:val="en-US"/>
        </w:rPr>
        <w:t xml:space="preserve"> – Advisor,</w:t>
      </w:r>
      <w:r w:rsidR="00553760">
        <w:rPr>
          <w:lang w:val="en-US"/>
        </w:rPr>
        <w:t xml:space="preserve"> Insurance Audit and Claims Jessie Khan and ARPC’s General Manager, Insurance </w:t>
      </w:r>
      <w:r w:rsidR="00052E85">
        <w:rPr>
          <w:lang w:val="en-US"/>
        </w:rPr>
        <w:t xml:space="preserve">Audit and Claims Michael Stallworthy – and </w:t>
      </w:r>
      <w:r>
        <w:rPr>
          <w:lang w:val="en-US"/>
        </w:rPr>
        <w:t xml:space="preserve">thanks clients for their cooperation. </w:t>
      </w:r>
    </w:p>
    <w:p w14:paraId="52780A0D" w14:textId="20ADEC43" w:rsidR="004A3D9C" w:rsidRDefault="00AC003E" w:rsidP="004A3D9C">
      <w:pPr>
        <w:shd w:val="clear" w:color="auto" w:fill="FFFFFF"/>
        <w:rPr>
          <w:lang w:val="en-US"/>
        </w:rPr>
      </w:pPr>
      <w:r>
        <w:rPr>
          <w:lang w:val="en-US"/>
        </w:rPr>
        <w:t xml:space="preserve">The </w:t>
      </w:r>
      <w:r w:rsidR="004A3D9C">
        <w:rPr>
          <w:lang w:val="en-US"/>
        </w:rPr>
        <w:t xml:space="preserve">review team typically reviews the following areas: </w:t>
      </w:r>
    </w:p>
    <w:p w14:paraId="42FACD43" w14:textId="688A4BDF" w:rsidR="004A3D9C" w:rsidRDefault="004A3D9C" w:rsidP="004A3D9C">
      <w:pPr>
        <w:pStyle w:val="ListParagraph"/>
        <w:numPr>
          <w:ilvl w:val="0"/>
          <w:numId w:val="3"/>
        </w:numPr>
        <w:shd w:val="clear" w:color="auto" w:fill="FFFFFF"/>
        <w:rPr>
          <w:lang w:val="en-US"/>
        </w:rPr>
      </w:pPr>
      <w:r w:rsidRPr="00DC63DE">
        <w:rPr>
          <w:b/>
          <w:lang w:val="en-US"/>
        </w:rPr>
        <w:t>Premium returns:</w:t>
      </w:r>
      <w:r>
        <w:rPr>
          <w:lang w:val="en-US"/>
        </w:rPr>
        <w:t xml:space="preserve"> This is to ensure that the quarterly premium return submitted to ARPC matches the insurance and financial records of the </w:t>
      </w:r>
      <w:proofErr w:type="spellStart"/>
      <w:r w:rsidR="00BE68F3">
        <w:rPr>
          <w:lang w:val="en-US"/>
        </w:rPr>
        <w:t>cedant</w:t>
      </w:r>
      <w:proofErr w:type="spellEnd"/>
      <w:r>
        <w:rPr>
          <w:lang w:val="en-US"/>
        </w:rPr>
        <w:t>.</w:t>
      </w:r>
    </w:p>
    <w:p w14:paraId="3DCF9FCB" w14:textId="28CF5B07" w:rsidR="004A3D9C" w:rsidRDefault="004A3D9C" w:rsidP="004A3D9C">
      <w:pPr>
        <w:pStyle w:val="ListParagraph"/>
        <w:numPr>
          <w:ilvl w:val="0"/>
          <w:numId w:val="3"/>
        </w:numPr>
        <w:shd w:val="clear" w:color="auto" w:fill="FFFFFF"/>
        <w:rPr>
          <w:lang w:val="en-US"/>
        </w:rPr>
      </w:pPr>
      <w:r w:rsidRPr="00DC63DE">
        <w:rPr>
          <w:b/>
          <w:lang w:val="en-US"/>
        </w:rPr>
        <w:lastRenderedPageBreak/>
        <w:t>APRA and ARPC returns:</w:t>
      </w:r>
      <w:r>
        <w:rPr>
          <w:lang w:val="en-US"/>
        </w:rPr>
        <w:t xml:space="preserve"> The reconciliation of APRA and ARPC returns assists in verifying the </w:t>
      </w:r>
      <w:r w:rsidR="00AC003E">
        <w:rPr>
          <w:lang w:val="en-US"/>
        </w:rPr>
        <w:t>Gross Written Premium (</w:t>
      </w:r>
      <w:r>
        <w:rPr>
          <w:lang w:val="en-US"/>
        </w:rPr>
        <w:t>GWP</w:t>
      </w:r>
      <w:r w:rsidR="00AC003E">
        <w:rPr>
          <w:lang w:val="en-US"/>
        </w:rPr>
        <w:t>)</w:t>
      </w:r>
      <w:r>
        <w:rPr>
          <w:lang w:val="en-US"/>
        </w:rPr>
        <w:t xml:space="preserve"> which is used to calculate the </w:t>
      </w:r>
      <w:proofErr w:type="spellStart"/>
      <w:r>
        <w:rPr>
          <w:lang w:val="en-US"/>
        </w:rPr>
        <w:t>c</w:t>
      </w:r>
      <w:r w:rsidR="00BE68F3">
        <w:rPr>
          <w:lang w:val="en-US"/>
        </w:rPr>
        <w:t>eda</w:t>
      </w:r>
      <w:r>
        <w:rPr>
          <w:lang w:val="en-US"/>
        </w:rPr>
        <w:t>nt’s</w:t>
      </w:r>
      <w:proofErr w:type="spellEnd"/>
      <w:r>
        <w:rPr>
          <w:lang w:val="en-US"/>
        </w:rPr>
        <w:t xml:space="preserve"> retention level under the Reinsurance Agreement.</w:t>
      </w:r>
    </w:p>
    <w:p w14:paraId="5D9245A0" w14:textId="35E3E307" w:rsidR="004A3D9C" w:rsidRDefault="004A3D9C" w:rsidP="004A3D9C">
      <w:pPr>
        <w:pStyle w:val="ListParagraph"/>
        <w:numPr>
          <w:ilvl w:val="0"/>
          <w:numId w:val="3"/>
        </w:numPr>
        <w:shd w:val="clear" w:color="auto" w:fill="FFFFFF"/>
        <w:rPr>
          <w:lang w:val="en-US"/>
        </w:rPr>
      </w:pPr>
      <w:r w:rsidRPr="00DC63DE">
        <w:rPr>
          <w:b/>
          <w:lang w:val="en-US"/>
        </w:rPr>
        <w:t>Claims management:</w:t>
      </w:r>
      <w:r>
        <w:rPr>
          <w:lang w:val="en-US"/>
        </w:rPr>
        <w:t xml:space="preserve"> The team reviews the claims manual to ensure </w:t>
      </w:r>
      <w:proofErr w:type="spellStart"/>
      <w:r w:rsidR="00BE68F3">
        <w:rPr>
          <w:lang w:val="en-US"/>
        </w:rPr>
        <w:t>cedants</w:t>
      </w:r>
      <w:proofErr w:type="spellEnd"/>
      <w:r w:rsidR="00BE68F3">
        <w:rPr>
          <w:lang w:val="en-US"/>
        </w:rPr>
        <w:t xml:space="preserve"> </w:t>
      </w:r>
      <w:r>
        <w:rPr>
          <w:lang w:val="en-US"/>
        </w:rPr>
        <w:t xml:space="preserve">are </w:t>
      </w:r>
      <w:r w:rsidR="00AC003E">
        <w:rPr>
          <w:lang w:val="en-US"/>
        </w:rPr>
        <w:t xml:space="preserve">completely </w:t>
      </w:r>
      <w:r>
        <w:rPr>
          <w:lang w:val="en-US"/>
        </w:rPr>
        <w:t>aware of ARPC’s unique requirements for reinsurance loss and claims reporting in the event of a D</w:t>
      </w:r>
      <w:r w:rsidR="00AC003E">
        <w:rPr>
          <w:lang w:val="en-US"/>
        </w:rPr>
        <w:t>TI</w:t>
      </w:r>
      <w:r>
        <w:rPr>
          <w:lang w:val="en-US"/>
        </w:rPr>
        <w:t>.</w:t>
      </w:r>
    </w:p>
    <w:p w14:paraId="5C21BC22" w14:textId="3B889AC6" w:rsidR="004A3D9C" w:rsidRDefault="004A3D9C" w:rsidP="004A3D9C">
      <w:pPr>
        <w:pStyle w:val="ListParagraph"/>
        <w:numPr>
          <w:ilvl w:val="0"/>
          <w:numId w:val="3"/>
        </w:numPr>
        <w:shd w:val="clear" w:color="auto" w:fill="FFFFFF"/>
        <w:rPr>
          <w:lang w:val="en-US"/>
        </w:rPr>
      </w:pPr>
      <w:bookmarkStart w:id="1" w:name="_Hlk499625879"/>
      <w:r w:rsidRPr="00DC63DE">
        <w:rPr>
          <w:b/>
          <w:lang w:val="en-US"/>
        </w:rPr>
        <w:t>Aggregate reporting:</w:t>
      </w:r>
      <w:r>
        <w:rPr>
          <w:lang w:val="en-US"/>
        </w:rPr>
        <w:t xml:space="preserve"> ARPC checks how the sum insured and risk numbers are generated for each postcode for submission of the Annual Aggregate Report</w:t>
      </w:r>
      <w:r w:rsidR="00AC003E">
        <w:rPr>
          <w:lang w:val="en-US"/>
        </w:rPr>
        <w:t xml:space="preserve">. ARPC also checks </w:t>
      </w:r>
      <w:r>
        <w:rPr>
          <w:lang w:val="en-US"/>
        </w:rPr>
        <w:t>detail</w:t>
      </w:r>
      <w:r w:rsidR="00AC003E">
        <w:rPr>
          <w:lang w:val="en-US"/>
        </w:rPr>
        <w:t>s</w:t>
      </w:r>
      <w:r>
        <w:rPr>
          <w:lang w:val="en-US"/>
        </w:rPr>
        <w:t xml:space="preserve"> for the street address report for CBDs. ARPC seeks to ensure that the aggregate information by postcode goes down to risk level. </w:t>
      </w:r>
    </w:p>
    <w:bookmarkEnd w:id="1"/>
    <w:p w14:paraId="0EEACF07" w14:textId="02894D77" w:rsidR="00EB556D" w:rsidRPr="00BE68F3" w:rsidRDefault="004A3D9C" w:rsidP="006F22B1">
      <w:pPr>
        <w:pStyle w:val="ListParagraph"/>
        <w:numPr>
          <w:ilvl w:val="0"/>
          <w:numId w:val="3"/>
        </w:numPr>
        <w:shd w:val="clear" w:color="auto" w:fill="FFFFFF"/>
      </w:pPr>
      <w:r w:rsidRPr="00DC63DE">
        <w:rPr>
          <w:b/>
          <w:lang w:val="en-US"/>
        </w:rPr>
        <w:t>Emergency procedures:</w:t>
      </w:r>
      <w:r>
        <w:rPr>
          <w:lang w:val="en-US"/>
        </w:rPr>
        <w:t xml:space="preserve"> This includes business continuity and disaster recovery plans to ensure that, if an incident occurs which affects a </w:t>
      </w:r>
      <w:proofErr w:type="spellStart"/>
      <w:r w:rsidR="00BE68F3">
        <w:rPr>
          <w:lang w:val="en-US"/>
        </w:rPr>
        <w:t>cedant’s</w:t>
      </w:r>
      <w:proofErr w:type="spellEnd"/>
      <w:r w:rsidR="00BE68F3">
        <w:rPr>
          <w:lang w:val="en-US"/>
        </w:rPr>
        <w:t xml:space="preserve"> </w:t>
      </w:r>
      <w:r>
        <w:rPr>
          <w:lang w:val="en-US"/>
        </w:rPr>
        <w:t>abi</w:t>
      </w:r>
      <w:r w:rsidR="00AD2138">
        <w:rPr>
          <w:lang w:val="en-US"/>
        </w:rPr>
        <w:t>lity to conduct its business, the client</w:t>
      </w:r>
      <w:r>
        <w:rPr>
          <w:lang w:val="en-US"/>
        </w:rPr>
        <w:t xml:space="preserve"> will still </w:t>
      </w:r>
      <w:r w:rsidR="00730228">
        <w:rPr>
          <w:lang w:val="en-US"/>
        </w:rPr>
        <w:t xml:space="preserve">be able </w:t>
      </w:r>
      <w:r>
        <w:rPr>
          <w:lang w:val="en-US"/>
        </w:rPr>
        <w:t xml:space="preserve">to report potential terrorism-related losses to ARPC in a timely manner and, in the event of a DTI, report claims. </w:t>
      </w:r>
    </w:p>
    <w:p w14:paraId="1CD42427" w14:textId="24D4CFD3" w:rsidR="00BE68F3" w:rsidRDefault="00BE68F3" w:rsidP="00BE68F3">
      <w:pPr>
        <w:pStyle w:val="ListParagraph"/>
        <w:numPr>
          <w:ilvl w:val="0"/>
          <w:numId w:val="3"/>
        </w:numPr>
      </w:pPr>
      <w:r w:rsidRPr="00BE68F3">
        <w:rPr>
          <w:b/>
        </w:rPr>
        <w:t>Policy wording:</w:t>
      </w:r>
      <w:r>
        <w:t xml:space="preserve"> </w:t>
      </w:r>
      <w:r w:rsidR="003C288F">
        <w:t>ARPC checks</w:t>
      </w:r>
      <w:r>
        <w:t xml:space="preserve"> the policy wording to confirm the appropriate terrorism exclusion clause is applied. </w:t>
      </w:r>
    </w:p>
    <w:p w14:paraId="4754D74B" w14:textId="77777777" w:rsidR="00BE68F3" w:rsidRPr="00232D93" w:rsidRDefault="00BE68F3" w:rsidP="00BE68F3">
      <w:pPr>
        <w:pStyle w:val="ListParagraph"/>
        <w:shd w:val="clear" w:color="auto" w:fill="FFFFFF"/>
      </w:pPr>
    </w:p>
    <w:p w14:paraId="79428264" w14:textId="77777777" w:rsidR="008737D1" w:rsidRDefault="008737D1" w:rsidP="00601BBB">
      <w:pPr>
        <w:pStyle w:val="Heading2"/>
      </w:pPr>
    </w:p>
    <w:p w14:paraId="0EEACF08" w14:textId="118A1489" w:rsidR="00232D93" w:rsidRDefault="00601BBB" w:rsidP="00601BBB">
      <w:pPr>
        <w:pStyle w:val="Heading2"/>
      </w:pPr>
      <w:r>
        <w:t>Postcode tier classification changes</w:t>
      </w:r>
      <w:r w:rsidR="00FA438E">
        <w:t xml:space="preserve"> to</w:t>
      </w:r>
      <w:r>
        <w:t xml:space="preserve"> take effect </w:t>
      </w:r>
      <w:r w:rsidR="00730228">
        <w:t>in</w:t>
      </w:r>
      <w:r>
        <w:t xml:space="preserve"> January</w:t>
      </w:r>
    </w:p>
    <w:p w14:paraId="0EEACF09" w14:textId="6EDA6978" w:rsidR="00D720D9" w:rsidRDefault="00730228">
      <w:r>
        <w:t xml:space="preserve">As outlined in in our July </w:t>
      </w:r>
      <w:proofErr w:type="spellStart"/>
      <w:r>
        <w:t>cedant</w:t>
      </w:r>
      <w:proofErr w:type="spellEnd"/>
      <w:r>
        <w:t xml:space="preserve"> email, </w:t>
      </w:r>
      <w:r w:rsidR="00D720D9">
        <w:t>ARPC’s most recent review of Australia</w:t>
      </w:r>
      <w:r w:rsidR="00FA438E">
        <w:t>n postcodes</w:t>
      </w:r>
      <w:r w:rsidR="00D720D9">
        <w:t xml:space="preserve"> resulted </w:t>
      </w:r>
      <w:r>
        <w:t xml:space="preserve">in </w:t>
      </w:r>
      <w:r w:rsidR="00D720D9">
        <w:t>tier classification</w:t>
      </w:r>
      <w:r>
        <w:t xml:space="preserve"> changes</w:t>
      </w:r>
      <w:r w:rsidR="00D720D9">
        <w:t xml:space="preserve">, which come into effect </w:t>
      </w:r>
      <w:r>
        <w:t xml:space="preserve">on </w:t>
      </w:r>
      <w:r w:rsidR="00D720D9">
        <w:t xml:space="preserve">1 January 2018. </w:t>
      </w:r>
      <w:r w:rsidR="00D16333">
        <w:t xml:space="preserve">The review was </w:t>
      </w:r>
      <w:r>
        <w:t>undertaken</w:t>
      </w:r>
      <w:r w:rsidR="00D16333">
        <w:t xml:space="preserve"> with the </w:t>
      </w:r>
      <w:r>
        <w:t>assistance</w:t>
      </w:r>
      <w:r w:rsidR="00D16333">
        <w:t xml:space="preserve"> of our actuarial consultants and </w:t>
      </w:r>
      <w:r>
        <w:t xml:space="preserve">is </w:t>
      </w:r>
      <w:r w:rsidR="00D16333">
        <w:t>based on</w:t>
      </w:r>
      <w:r>
        <w:t xml:space="preserve"> current</w:t>
      </w:r>
      <w:r w:rsidR="00D16333">
        <w:t xml:space="preserve"> population statistics. </w:t>
      </w:r>
    </w:p>
    <w:p w14:paraId="0EEACF0A" w14:textId="77777777" w:rsidR="00D720D9" w:rsidRDefault="00FA438E">
      <w:r>
        <w:t>The adjustments are as follows:</w:t>
      </w:r>
    </w:p>
    <w:p w14:paraId="0EEACF0B" w14:textId="77777777" w:rsidR="00FA438E" w:rsidRPr="00FA438E" w:rsidRDefault="00FA438E" w:rsidP="00FA438E">
      <w:pPr>
        <w:numPr>
          <w:ilvl w:val="0"/>
          <w:numId w:val="2"/>
        </w:numPr>
      </w:pPr>
      <w:r w:rsidRPr="00FA438E">
        <w:t xml:space="preserve">Newly classified urban region – Toowoomba and Cairns now meet the definition of an urban area. </w:t>
      </w:r>
      <w:proofErr w:type="gramStart"/>
      <w:r w:rsidRPr="00FA438E">
        <w:t>Therefore</w:t>
      </w:r>
      <w:proofErr w:type="gramEnd"/>
      <w:r w:rsidRPr="00FA438E">
        <w:t xml:space="preserve"> one postcode in Toowoomba and five postcodes in Cairns that were classified as Tier C have been reclassified as Tier B postcodes.</w:t>
      </w:r>
    </w:p>
    <w:p w14:paraId="0EEACF0C" w14:textId="1BA8B628" w:rsidR="00FA438E" w:rsidRPr="00FA438E" w:rsidRDefault="00FA438E" w:rsidP="00FA438E">
      <w:pPr>
        <w:numPr>
          <w:ilvl w:val="0"/>
          <w:numId w:val="2"/>
        </w:numPr>
      </w:pPr>
      <w:r w:rsidRPr="00FA438E">
        <w:t>New urban fringes – 61 postcodes at the borders of urban areas that are now und</w:t>
      </w:r>
      <w:r w:rsidR="00AD2138">
        <w:t>ergoing substantial development</w:t>
      </w:r>
      <w:r w:rsidRPr="00FA438E">
        <w:t xml:space="preserve"> have been reclassified as Tier B. The most notable changes are south of Perth where the Rockingham area has now been included.</w:t>
      </w:r>
    </w:p>
    <w:p w14:paraId="0EEACF0D" w14:textId="57B8099B" w:rsidR="00FA438E" w:rsidRPr="00FA438E" w:rsidRDefault="00FA438E" w:rsidP="00FA438E">
      <w:pPr>
        <w:numPr>
          <w:ilvl w:val="0"/>
          <w:numId w:val="2"/>
        </w:numPr>
      </w:pPr>
      <w:r w:rsidRPr="00FA438E">
        <w:t>New postcodes – there are 13 new postcodes that have now been classified. Please note that th</w:t>
      </w:r>
      <w:r w:rsidR="00AD2138">
        <w:t>e University of Adelaide has now</w:t>
      </w:r>
      <w:r w:rsidRPr="00FA438E">
        <w:t xml:space="preserve"> been given its own postcode which is classified as Tier A.</w:t>
      </w:r>
    </w:p>
    <w:p w14:paraId="0EEACF0E" w14:textId="77777777" w:rsidR="00FA438E" w:rsidRDefault="00FA438E" w:rsidP="00FA438E">
      <w:pPr>
        <w:numPr>
          <w:ilvl w:val="0"/>
          <w:numId w:val="2"/>
        </w:numPr>
      </w:pPr>
      <w:r w:rsidRPr="00FA438E">
        <w:t xml:space="preserve">Corrections – we have revised the tier for five postcodes. This includes adjusting university postcodes from Tier C to Tier B, attributed to their location. </w:t>
      </w:r>
    </w:p>
    <w:p w14:paraId="0EEACF0F" w14:textId="4C0D0526" w:rsidR="00FA438E" w:rsidRDefault="00FA438E" w:rsidP="00FA438E">
      <w:r>
        <w:t>The complete, updated postcode table</w:t>
      </w:r>
      <w:r w:rsidR="00F46D19">
        <w:t>,</w:t>
      </w:r>
      <w:r>
        <w:t xml:space="preserve"> effective 1 January 2018</w:t>
      </w:r>
      <w:r w:rsidR="00F46D19">
        <w:t>,</w:t>
      </w:r>
      <w:r>
        <w:t xml:space="preserve"> is available on the ARPC website </w:t>
      </w:r>
      <w:hyperlink r:id="rId16" w:history="1">
        <w:r w:rsidRPr="00D16333">
          <w:rPr>
            <w:rStyle w:val="Hyperlink"/>
          </w:rPr>
          <w:t>here</w:t>
        </w:r>
      </w:hyperlink>
      <w:r>
        <w:t xml:space="preserve">. This table is used to determine the correct terrorism premium tier rate for all </w:t>
      </w:r>
      <w:r w:rsidR="00730228">
        <w:t xml:space="preserve">eligible </w:t>
      </w:r>
      <w:r>
        <w:t xml:space="preserve">new and renewal business from this effective date. Please ensure your underwriting and other rating systems are updated accordingly. </w:t>
      </w:r>
    </w:p>
    <w:p w14:paraId="0EEACF10" w14:textId="4BC2BC38" w:rsidR="00FA438E" w:rsidRDefault="00FA438E" w:rsidP="00FA438E">
      <w:r>
        <w:t xml:space="preserve">ARPC first issued an email to all </w:t>
      </w:r>
      <w:proofErr w:type="spellStart"/>
      <w:r>
        <w:t>cedants</w:t>
      </w:r>
      <w:proofErr w:type="spellEnd"/>
      <w:r>
        <w:t xml:space="preserve"> in July, informing them of the changes and providing six months’ notice. </w:t>
      </w:r>
    </w:p>
    <w:p w14:paraId="7D61C12D" w14:textId="77777777" w:rsidR="00B05719" w:rsidRDefault="00B05719" w:rsidP="004A3D9C">
      <w:pPr>
        <w:keepNext/>
        <w:keepLines/>
        <w:spacing w:after="0"/>
        <w:outlineLvl w:val="1"/>
        <w:rPr>
          <w:rFonts w:ascii="Cambria" w:eastAsia="Times New Roman" w:hAnsi="Cambria" w:cs="Times New Roman"/>
          <w:b/>
          <w:bCs/>
          <w:color w:val="4F81BD" w:themeColor="accent1"/>
          <w:sz w:val="26"/>
          <w:szCs w:val="26"/>
        </w:rPr>
      </w:pPr>
    </w:p>
    <w:p w14:paraId="51BD3DDF" w14:textId="1F28DAE2" w:rsidR="004A3D9C" w:rsidRDefault="004A3D9C" w:rsidP="004A3D9C">
      <w:pPr>
        <w:keepNext/>
        <w:keepLines/>
        <w:spacing w:after="0"/>
        <w:outlineLvl w:val="1"/>
        <w:rPr>
          <w:rFonts w:ascii="Cambria" w:eastAsia="Times New Roman" w:hAnsi="Cambria" w:cs="Times New Roman"/>
          <w:b/>
          <w:bCs/>
          <w:color w:val="4F81BD" w:themeColor="accent1"/>
          <w:sz w:val="26"/>
          <w:szCs w:val="26"/>
        </w:rPr>
      </w:pPr>
      <w:r w:rsidRPr="00EB556D">
        <w:rPr>
          <w:rFonts w:ascii="Cambria" w:eastAsia="Times New Roman" w:hAnsi="Cambria" w:cs="Times New Roman"/>
          <w:b/>
          <w:bCs/>
          <w:color w:val="4F81BD" w:themeColor="accent1"/>
          <w:sz w:val="26"/>
          <w:szCs w:val="26"/>
        </w:rPr>
        <w:t>Postcode update</w:t>
      </w:r>
    </w:p>
    <w:p w14:paraId="63FB7B7C" w14:textId="77777777" w:rsidR="004A3D9C" w:rsidRPr="00EB556D" w:rsidRDefault="004A3D9C" w:rsidP="004A3D9C">
      <w:pPr>
        <w:keepNext/>
        <w:keepLines/>
        <w:spacing w:after="0"/>
        <w:outlineLvl w:val="1"/>
        <w:rPr>
          <w:rFonts w:ascii="Cambria" w:eastAsia="Times New Roman" w:hAnsi="Cambria" w:cs="Times New Roman"/>
          <w:b/>
          <w:bCs/>
          <w:color w:val="4F81BD" w:themeColor="accent1"/>
          <w:sz w:val="26"/>
          <w:szCs w:val="26"/>
        </w:rPr>
      </w:pPr>
      <w:r w:rsidRPr="00EB556D">
        <w:rPr>
          <w:rFonts w:ascii="Calibri" w:eastAsia="Times New Roman" w:hAnsi="Calibri" w:cs="Times New Roman"/>
          <w:bCs/>
        </w:rPr>
        <w:t xml:space="preserve">There is no postcode update this issue. </w:t>
      </w:r>
    </w:p>
    <w:p w14:paraId="0EEACF11" w14:textId="77777777" w:rsidR="00CB7327" w:rsidRDefault="00CB7327"/>
    <w:sectPr w:rsidR="00CB732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Bold">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CE3DE5"/>
    <w:multiLevelType w:val="hybridMultilevel"/>
    <w:tmpl w:val="9698F3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DC37A22"/>
    <w:multiLevelType w:val="multilevel"/>
    <w:tmpl w:val="01F2DCC6"/>
    <w:name w:val="StandardBulletedList"/>
    <w:lvl w:ilvl="0">
      <w:start w:val="1"/>
      <w:numFmt w:val="bullet"/>
      <w:pStyle w:val="Bullet"/>
      <w:lvlText w:val="•"/>
      <w:lvlJc w:val="left"/>
      <w:pPr>
        <w:tabs>
          <w:tab w:val="num" w:pos="520"/>
        </w:tabs>
        <w:ind w:left="520" w:hanging="520"/>
      </w:pPr>
      <w:rPr>
        <w:rFonts w:ascii="Times New Roman" w:hAnsi="Times New Roman" w:cs="Times New Roman"/>
      </w:rPr>
    </w:lvl>
    <w:lvl w:ilvl="1">
      <w:start w:val="1"/>
      <w:numFmt w:val="bullet"/>
      <w:pStyle w:val="Dash"/>
      <w:lvlText w:val="–"/>
      <w:lvlJc w:val="left"/>
      <w:pPr>
        <w:tabs>
          <w:tab w:val="num" w:pos="1040"/>
        </w:tabs>
        <w:ind w:left="1040" w:hanging="520"/>
      </w:pPr>
      <w:rPr>
        <w:rFonts w:ascii="Times New Roman" w:hAnsi="Times New Roman" w:cs="Times New Roman"/>
      </w:rPr>
    </w:lvl>
    <w:lvl w:ilvl="2">
      <w:start w:val="1"/>
      <w:numFmt w:val="bullet"/>
      <w:pStyle w:val="DoubleDot"/>
      <w:lvlText w:val=":"/>
      <w:lvlJc w:val="left"/>
      <w:pPr>
        <w:tabs>
          <w:tab w:val="num" w:pos="1560"/>
        </w:tabs>
        <w:ind w:left="1560" w:hanging="520"/>
      </w:pPr>
      <w:rPr>
        <w:rFonts w:ascii="Times New Roman" w:hAnsi="Times New Roman" w:cs="Times New Roman"/>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7F2C220F"/>
    <w:multiLevelType w:val="multilevel"/>
    <w:tmpl w:val="4ABC7210"/>
    <w:lvl w:ilvl="0">
      <w:start w:val="1"/>
      <w:numFmt w:val="bullet"/>
      <w:lvlText w:val="•"/>
      <w:lvlJc w:val="left"/>
      <w:pPr>
        <w:tabs>
          <w:tab w:val="num" w:pos="520"/>
        </w:tabs>
        <w:ind w:left="520" w:hanging="520"/>
      </w:pPr>
      <w:rPr>
        <w:rFonts w:ascii="Times New Roman" w:hAnsi="Times New Roman" w:cs="Times New Roman"/>
      </w:rPr>
    </w:lvl>
    <w:lvl w:ilvl="1">
      <w:start w:val="1"/>
      <w:numFmt w:val="bullet"/>
      <w:lvlText w:val="–"/>
      <w:lvlJc w:val="left"/>
      <w:pPr>
        <w:tabs>
          <w:tab w:val="num" w:pos="1040"/>
        </w:tabs>
        <w:ind w:left="1040" w:hanging="520"/>
      </w:pPr>
      <w:rPr>
        <w:rFonts w:ascii="Times New Roman" w:hAnsi="Times New Roman" w:cs="Times New Roman"/>
      </w:rPr>
    </w:lvl>
    <w:lvl w:ilvl="2">
      <w:start w:val="1"/>
      <w:numFmt w:val="bullet"/>
      <w:lvlText w:val=":"/>
      <w:lvlJc w:val="left"/>
      <w:pPr>
        <w:tabs>
          <w:tab w:val="num" w:pos="1560"/>
        </w:tabs>
        <w:ind w:left="1560" w:hanging="520"/>
      </w:pPr>
      <w:rPr>
        <w:rFonts w:ascii="Times New Roman" w:hAnsi="Times New Roman" w:cs="Times New Roman"/>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6D3"/>
    <w:rsid w:val="00045832"/>
    <w:rsid w:val="00052E85"/>
    <w:rsid w:val="00064880"/>
    <w:rsid w:val="00065DD8"/>
    <w:rsid w:val="000803D7"/>
    <w:rsid w:val="00106819"/>
    <w:rsid w:val="001978D7"/>
    <w:rsid w:val="001D31EF"/>
    <w:rsid w:val="00212B95"/>
    <w:rsid w:val="00223555"/>
    <w:rsid w:val="00232D93"/>
    <w:rsid w:val="00233B38"/>
    <w:rsid w:val="002656CB"/>
    <w:rsid w:val="00265B1E"/>
    <w:rsid w:val="002D634C"/>
    <w:rsid w:val="002E455B"/>
    <w:rsid w:val="00304B0A"/>
    <w:rsid w:val="003624A0"/>
    <w:rsid w:val="0039335A"/>
    <w:rsid w:val="003C288F"/>
    <w:rsid w:val="003D1622"/>
    <w:rsid w:val="003D2D6B"/>
    <w:rsid w:val="003F353B"/>
    <w:rsid w:val="003F6503"/>
    <w:rsid w:val="004A1F8E"/>
    <w:rsid w:val="004A3D9C"/>
    <w:rsid w:val="004D5EE6"/>
    <w:rsid w:val="0051694A"/>
    <w:rsid w:val="00527C51"/>
    <w:rsid w:val="00553760"/>
    <w:rsid w:val="00556693"/>
    <w:rsid w:val="005C50C8"/>
    <w:rsid w:val="005F2343"/>
    <w:rsid w:val="00601BBB"/>
    <w:rsid w:val="00634559"/>
    <w:rsid w:val="00661D3C"/>
    <w:rsid w:val="00670E8E"/>
    <w:rsid w:val="00675E5F"/>
    <w:rsid w:val="006D526B"/>
    <w:rsid w:val="006F22B1"/>
    <w:rsid w:val="007049EF"/>
    <w:rsid w:val="00730228"/>
    <w:rsid w:val="007A4E87"/>
    <w:rsid w:val="008103B4"/>
    <w:rsid w:val="008737D1"/>
    <w:rsid w:val="0089610A"/>
    <w:rsid w:val="00954484"/>
    <w:rsid w:val="009677FB"/>
    <w:rsid w:val="009F575E"/>
    <w:rsid w:val="00A73ED4"/>
    <w:rsid w:val="00AC003E"/>
    <w:rsid w:val="00AD2138"/>
    <w:rsid w:val="00AF0EB8"/>
    <w:rsid w:val="00B00679"/>
    <w:rsid w:val="00B05719"/>
    <w:rsid w:val="00BA20FA"/>
    <w:rsid w:val="00BC771A"/>
    <w:rsid w:val="00BE68F3"/>
    <w:rsid w:val="00C126D3"/>
    <w:rsid w:val="00C5409C"/>
    <w:rsid w:val="00C76796"/>
    <w:rsid w:val="00CB7327"/>
    <w:rsid w:val="00D10FF1"/>
    <w:rsid w:val="00D16333"/>
    <w:rsid w:val="00D415E8"/>
    <w:rsid w:val="00D720D9"/>
    <w:rsid w:val="00DC63DE"/>
    <w:rsid w:val="00DE1ECC"/>
    <w:rsid w:val="00E048E1"/>
    <w:rsid w:val="00E2148F"/>
    <w:rsid w:val="00E46A74"/>
    <w:rsid w:val="00EA6151"/>
    <w:rsid w:val="00EB556D"/>
    <w:rsid w:val="00F46D19"/>
    <w:rsid w:val="00FA438E"/>
    <w:rsid w:val="00FE48EC"/>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EEACEEA"/>
  <w15:docId w15:val="{FAC8A8CE-5909-48E3-B94F-D2DD066080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A3D9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232D93"/>
    <w:pPr>
      <w:keepNext/>
      <w:keepLines/>
      <w:spacing w:before="200" w:after="0"/>
      <w:outlineLvl w:val="1"/>
    </w:pPr>
    <w:rPr>
      <w:rFonts w:asciiTheme="majorHAnsi" w:eastAsiaTheme="majorEastAsia" w:hAnsiTheme="majorHAnsi" w:cs="Times New Roman"/>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ullet">
    <w:name w:val="Bullet"/>
    <w:basedOn w:val="Normal"/>
    <w:link w:val="BulletChar"/>
    <w:rsid w:val="00C126D3"/>
    <w:pPr>
      <w:numPr>
        <w:numId w:val="1"/>
      </w:numPr>
      <w:spacing w:after="0"/>
    </w:pPr>
    <w:rPr>
      <w:rFonts w:eastAsia="Times New Roman" w:cs="Times New Roman"/>
    </w:rPr>
  </w:style>
  <w:style w:type="character" w:customStyle="1" w:styleId="BulletChar">
    <w:name w:val="Bullet Char"/>
    <w:basedOn w:val="DefaultParagraphFont"/>
    <w:link w:val="Bullet"/>
    <w:rsid w:val="00C126D3"/>
    <w:rPr>
      <w:rFonts w:eastAsia="Times New Roman" w:cs="Times New Roman"/>
    </w:rPr>
  </w:style>
  <w:style w:type="paragraph" w:customStyle="1" w:styleId="Dash">
    <w:name w:val="Dash"/>
    <w:basedOn w:val="Normal"/>
    <w:link w:val="DashChar"/>
    <w:rsid w:val="00C126D3"/>
    <w:pPr>
      <w:numPr>
        <w:ilvl w:val="1"/>
        <w:numId w:val="1"/>
      </w:numPr>
      <w:spacing w:after="0"/>
    </w:pPr>
    <w:rPr>
      <w:rFonts w:eastAsia="Times New Roman" w:cs="Times New Roman"/>
    </w:rPr>
  </w:style>
  <w:style w:type="character" w:customStyle="1" w:styleId="DashChar">
    <w:name w:val="Dash Char"/>
    <w:basedOn w:val="DefaultParagraphFont"/>
    <w:link w:val="Dash"/>
    <w:rsid w:val="00C126D3"/>
    <w:rPr>
      <w:rFonts w:eastAsia="Times New Roman" w:cs="Times New Roman"/>
    </w:rPr>
  </w:style>
  <w:style w:type="paragraph" w:customStyle="1" w:styleId="DoubleDot">
    <w:name w:val="Double Dot"/>
    <w:basedOn w:val="Normal"/>
    <w:link w:val="DoubleDotChar"/>
    <w:rsid w:val="00C126D3"/>
    <w:pPr>
      <w:numPr>
        <w:ilvl w:val="2"/>
        <w:numId w:val="1"/>
      </w:numPr>
      <w:spacing w:after="0"/>
    </w:pPr>
    <w:rPr>
      <w:rFonts w:eastAsia="Times New Roman" w:cs="Times New Roman"/>
    </w:rPr>
  </w:style>
  <w:style w:type="character" w:customStyle="1" w:styleId="DoubleDotChar">
    <w:name w:val="Double Dot Char"/>
    <w:basedOn w:val="DefaultParagraphFont"/>
    <w:link w:val="DoubleDot"/>
    <w:rsid w:val="00C126D3"/>
    <w:rPr>
      <w:rFonts w:eastAsia="Times New Roman" w:cs="Times New Roman"/>
    </w:rPr>
  </w:style>
  <w:style w:type="character" w:styleId="Hyperlink">
    <w:name w:val="Hyperlink"/>
    <w:basedOn w:val="DefaultParagraphFont"/>
    <w:uiPriority w:val="99"/>
    <w:unhideWhenUsed/>
    <w:rsid w:val="003F6503"/>
    <w:rPr>
      <w:color w:val="0000FF" w:themeColor="hyperlink"/>
      <w:u w:val="single"/>
    </w:rPr>
  </w:style>
  <w:style w:type="character" w:customStyle="1" w:styleId="Heading2Char">
    <w:name w:val="Heading 2 Char"/>
    <w:basedOn w:val="DefaultParagraphFont"/>
    <w:link w:val="Heading2"/>
    <w:uiPriority w:val="9"/>
    <w:rsid w:val="00232D93"/>
    <w:rPr>
      <w:rFonts w:asciiTheme="majorHAnsi" w:eastAsiaTheme="majorEastAsia" w:hAnsiTheme="majorHAnsi" w:cs="Times New Roman"/>
      <w:b/>
      <w:bCs/>
      <w:color w:val="4F81BD" w:themeColor="accent1"/>
      <w:sz w:val="26"/>
      <w:szCs w:val="26"/>
    </w:rPr>
  </w:style>
  <w:style w:type="character" w:customStyle="1" w:styleId="UnresolvedMention1">
    <w:name w:val="Unresolved Mention1"/>
    <w:basedOn w:val="DefaultParagraphFont"/>
    <w:uiPriority w:val="99"/>
    <w:semiHidden/>
    <w:unhideWhenUsed/>
    <w:rsid w:val="00D415E8"/>
    <w:rPr>
      <w:color w:val="808080"/>
      <w:shd w:val="clear" w:color="auto" w:fill="E6E6E6"/>
    </w:rPr>
  </w:style>
  <w:style w:type="character" w:customStyle="1" w:styleId="Heading1Char">
    <w:name w:val="Heading 1 Char"/>
    <w:basedOn w:val="DefaultParagraphFont"/>
    <w:link w:val="Heading1"/>
    <w:uiPriority w:val="9"/>
    <w:rsid w:val="004A3D9C"/>
    <w:rPr>
      <w:rFonts w:asciiTheme="majorHAnsi" w:eastAsiaTheme="majorEastAsia" w:hAnsiTheme="majorHAnsi" w:cstheme="majorBidi"/>
      <w:color w:val="365F91" w:themeColor="accent1" w:themeShade="BF"/>
      <w:sz w:val="32"/>
      <w:szCs w:val="32"/>
    </w:rPr>
  </w:style>
  <w:style w:type="paragraph" w:styleId="ListParagraph">
    <w:name w:val="List Paragraph"/>
    <w:basedOn w:val="Normal"/>
    <w:uiPriority w:val="34"/>
    <w:qFormat/>
    <w:rsid w:val="004A3D9C"/>
    <w:pPr>
      <w:ind w:left="720"/>
      <w:contextualSpacing/>
    </w:pPr>
  </w:style>
  <w:style w:type="paragraph" w:styleId="BalloonText">
    <w:name w:val="Balloon Text"/>
    <w:basedOn w:val="Normal"/>
    <w:link w:val="BalloonTextChar"/>
    <w:uiPriority w:val="99"/>
    <w:semiHidden/>
    <w:unhideWhenUsed/>
    <w:rsid w:val="0006488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64880"/>
    <w:rPr>
      <w:rFonts w:ascii="Segoe UI" w:hAnsi="Segoe UI" w:cs="Segoe UI"/>
      <w:sz w:val="18"/>
      <w:szCs w:val="18"/>
    </w:rPr>
  </w:style>
  <w:style w:type="character" w:styleId="CommentReference">
    <w:name w:val="annotation reference"/>
    <w:basedOn w:val="DefaultParagraphFont"/>
    <w:uiPriority w:val="99"/>
    <w:semiHidden/>
    <w:unhideWhenUsed/>
    <w:rsid w:val="003F353B"/>
    <w:rPr>
      <w:sz w:val="16"/>
      <w:szCs w:val="16"/>
    </w:rPr>
  </w:style>
  <w:style w:type="paragraph" w:styleId="CommentText">
    <w:name w:val="annotation text"/>
    <w:basedOn w:val="Normal"/>
    <w:link w:val="CommentTextChar"/>
    <w:uiPriority w:val="99"/>
    <w:semiHidden/>
    <w:unhideWhenUsed/>
    <w:rsid w:val="003F353B"/>
    <w:pPr>
      <w:spacing w:line="240" w:lineRule="auto"/>
    </w:pPr>
    <w:rPr>
      <w:sz w:val="20"/>
      <w:szCs w:val="20"/>
    </w:rPr>
  </w:style>
  <w:style w:type="character" w:customStyle="1" w:styleId="CommentTextChar">
    <w:name w:val="Comment Text Char"/>
    <w:basedOn w:val="DefaultParagraphFont"/>
    <w:link w:val="CommentText"/>
    <w:uiPriority w:val="99"/>
    <w:semiHidden/>
    <w:rsid w:val="003F353B"/>
    <w:rPr>
      <w:sz w:val="20"/>
      <w:szCs w:val="20"/>
    </w:rPr>
  </w:style>
  <w:style w:type="paragraph" w:styleId="CommentSubject">
    <w:name w:val="annotation subject"/>
    <w:basedOn w:val="CommentText"/>
    <w:next w:val="CommentText"/>
    <w:link w:val="CommentSubjectChar"/>
    <w:uiPriority w:val="99"/>
    <w:semiHidden/>
    <w:unhideWhenUsed/>
    <w:rsid w:val="003F353B"/>
    <w:rPr>
      <w:b/>
      <w:bCs/>
    </w:rPr>
  </w:style>
  <w:style w:type="character" w:customStyle="1" w:styleId="CommentSubjectChar">
    <w:name w:val="Comment Subject Char"/>
    <w:basedOn w:val="CommentTextChar"/>
    <w:link w:val="CommentSubject"/>
    <w:uiPriority w:val="99"/>
    <w:semiHidden/>
    <w:rsid w:val="003F353B"/>
    <w:rPr>
      <w:b/>
      <w:bCs/>
      <w:sz w:val="20"/>
      <w:szCs w:val="20"/>
    </w:rPr>
  </w:style>
  <w:style w:type="paragraph" w:styleId="Revision">
    <w:name w:val="Revision"/>
    <w:hidden/>
    <w:uiPriority w:val="99"/>
    <w:semiHidden/>
    <w:rsid w:val="004D5EE6"/>
    <w:pPr>
      <w:spacing w:after="0" w:line="240" w:lineRule="auto"/>
    </w:pPr>
  </w:style>
  <w:style w:type="character" w:styleId="FollowedHyperlink">
    <w:name w:val="FollowedHyperlink"/>
    <w:basedOn w:val="DefaultParagraphFont"/>
    <w:uiPriority w:val="99"/>
    <w:semiHidden/>
    <w:unhideWhenUsed/>
    <w:rsid w:val="00C7679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636352">
      <w:bodyDiv w:val="1"/>
      <w:marLeft w:val="0"/>
      <w:marRight w:val="0"/>
      <w:marTop w:val="0"/>
      <w:marBottom w:val="0"/>
      <w:divBdr>
        <w:top w:val="none" w:sz="0" w:space="0" w:color="auto"/>
        <w:left w:val="none" w:sz="0" w:space="0" w:color="auto"/>
        <w:bottom w:val="none" w:sz="0" w:space="0" w:color="auto"/>
        <w:right w:val="none" w:sz="0" w:space="0" w:color="auto"/>
      </w:divBdr>
    </w:div>
    <w:div w:id="148373594">
      <w:bodyDiv w:val="1"/>
      <w:marLeft w:val="0"/>
      <w:marRight w:val="0"/>
      <w:marTop w:val="0"/>
      <w:marBottom w:val="0"/>
      <w:divBdr>
        <w:top w:val="none" w:sz="0" w:space="0" w:color="auto"/>
        <w:left w:val="none" w:sz="0" w:space="0" w:color="auto"/>
        <w:bottom w:val="none" w:sz="0" w:space="0" w:color="auto"/>
        <w:right w:val="none" w:sz="0" w:space="0" w:color="auto"/>
      </w:divBdr>
    </w:div>
    <w:div w:id="243758191">
      <w:bodyDiv w:val="1"/>
      <w:marLeft w:val="0"/>
      <w:marRight w:val="0"/>
      <w:marTop w:val="0"/>
      <w:marBottom w:val="0"/>
      <w:divBdr>
        <w:top w:val="none" w:sz="0" w:space="0" w:color="auto"/>
        <w:left w:val="none" w:sz="0" w:space="0" w:color="auto"/>
        <w:bottom w:val="none" w:sz="0" w:space="0" w:color="auto"/>
        <w:right w:val="none" w:sz="0" w:space="0" w:color="auto"/>
      </w:divBdr>
    </w:div>
    <w:div w:id="1016426746">
      <w:bodyDiv w:val="1"/>
      <w:marLeft w:val="0"/>
      <w:marRight w:val="0"/>
      <w:marTop w:val="0"/>
      <w:marBottom w:val="0"/>
      <w:divBdr>
        <w:top w:val="none" w:sz="0" w:space="0" w:color="auto"/>
        <w:left w:val="none" w:sz="0" w:space="0" w:color="auto"/>
        <w:bottom w:val="none" w:sz="0" w:space="0" w:color="auto"/>
        <w:right w:val="none" w:sz="0" w:space="0" w:color="auto"/>
      </w:divBdr>
    </w:div>
    <w:div w:id="1077748786">
      <w:bodyDiv w:val="1"/>
      <w:marLeft w:val="0"/>
      <w:marRight w:val="0"/>
      <w:marTop w:val="0"/>
      <w:marBottom w:val="0"/>
      <w:divBdr>
        <w:top w:val="none" w:sz="0" w:space="0" w:color="auto"/>
        <w:left w:val="none" w:sz="0" w:space="0" w:color="auto"/>
        <w:bottom w:val="none" w:sz="0" w:space="0" w:color="auto"/>
        <w:right w:val="none" w:sz="0" w:space="0" w:color="auto"/>
      </w:divBdr>
    </w:div>
    <w:div w:id="1203249710">
      <w:bodyDiv w:val="1"/>
      <w:marLeft w:val="0"/>
      <w:marRight w:val="0"/>
      <w:marTop w:val="0"/>
      <w:marBottom w:val="0"/>
      <w:divBdr>
        <w:top w:val="none" w:sz="0" w:space="0" w:color="auto"/>
        <w:left w:val="none" w:sz="0" w:space="0" w:color="auto"/>
        <w:bottom w:val="none" w:sz="0" w:space="0" w:color="auto"/>
        <w:right w:val="none" w:sz="0" w:space="0" w:color="auto"/>
      </w:divBdr>
    </w:div>
    <w:div w:id="1392116456">
      <w:bodyDiv w:val="1"/>
      <w:marLeft w:val="0"/>
      <w:marRight w:val="0"/>
      <w:marTop w:val="0"/>
      <w:marBottom w:val="0"/>
      <w:divBdr>
        <w:top w:val="none" w:sz="0" w:space="0" w:color="auto"/>
        <w:left w:val="none" w:sz="0" w:space="0" w:color="auto"/>
        <w:bottom w:val="none" w:sz="0" w:space="0" w:color="auto"/>
        <w:right w:val="none" w:sz="0" w:space="0" w:color="auto"/>
      </w:divBdr>
    </w:div>
    <w:div w:id="1462108882">
      <w:bodyDiv w:val="1"/>
      <w:marLeft w:val="0"/>
      <w:marRight w:val="0"/>
      <w:marTop w:val="0"/>
      <w:marBottom w:val="0"/>
      <w:divBdr>
        <w:top w:val="none" w:sz="0" w:space="0" w:color="auto"/>
        <w:left w:val="none" w:sz="0" w:space="0" w:color="auto"/>
        <w:bottom w:val="none" w:sz="0" w:space="0" w:color="auto"/>
        <w:right w:val="none" w:sz="0" w:space="0" w:color="auto"/>
      </w:divBdr>
    </w:div>
    <w:div w:id="2125729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accounts@arpc.gov.au"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arpc.gov.au/our-customers/postcode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cdn.tspace.gov.au/uploads/sites/98/2012/09/RISe_Cedant_User_Manual_v3.2.pdf" TargetMode="External"/><Relationship Id="rId5" Type="http://schemas.openxmlformats.org/officeDocument/2006/relationships/numbering" Target="numbering.xml"/><Relationship Id="rId15" Type="http://schemas.openxmlformats.org/officeDocument/2006/relationships/image" Target="media/image2.jpg"/><Relationship Id="rId10" Type="http://schemas.openxmlformats.org/officeDocument/2006/relationships/hyperlink" Target="http://arpc.gov.au/our-customers/rise-login/" TargetMode="External"/><Relationship Id="rId4" Type="http://schemas.openxmlformats.org/officeDocument/2006/relationships/customXml" Target="../customXml/item4.xml"/><Relationship Id="rId9" Type="http://schemas.openxmlformats.org/officeDocument/2006/relationships/hyperlink" Target="http://arpc.gov.au/resources-2/publications/annual-report/" TargetMode="External"/><Relationship Id="rId14" Type="http://schemas.openxmlformats.org/officeDocument/2006/relationships/hyperlink" Target="https://www.linkedin.com/company/1821293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8CE9F5EA8A5FBD47A8A2D012323F7F05" ma:contentTypeVersion="10" ma:contentTypeDescription="Create a new document." ma:contentTypeScope="" ma:versionID="bb83e51ddc185a387061eb43186f2fc7">
  <xsd:schema xmlns:xsd="http://www.w3.org/2001/XMLSchema" xmlns:xs="http://www.w3.org/2001/XMLSchema" xmlns:p="http://schemas.microsoft.com/office/2006/metadata/properties" xmlns:ns2="193d2b7f-05f7-4e58-9518-e46a74282b94" xmlns:ns3="3b3541d6-3dfa-486b-a690-e408a089a2fd" targetNamespace="http://schemas.microsoft.com/office/2006/metadata/properties" ma:root="true" ma:fieldsID="19032f0a4523ce916920ab23e5c9eb36" ns2:_="" ns3:_="">
    <xsd:import namespace="193d2b7f-05f7-4e58-9518-e46a74282b94"/>
    <xsd:import namespace="3b3541d6-3dfa-486b-a690-e408a089a2fd"/>
    <xsd:element name="properties">
      <xsd:complexType>
        <xsd:sequence>
          <xsd:element name="documentManagement">
            <xsd:complexType>
              <xsd:all>
                <xsd:element ref="ns2:_dlc_DocId" minOccurs="0"/>
                <xsd:element ref="ns2:_dlc_DocIdUrl" minOccurs="0"/>
                <xsd:element ref="ns2:_dlc_DocIdPersistId" minOccurs="0"/>
                <xsd:element ref="ns2:Financial_x0020_Year"/>
                <xsd:element ref="ns2:Security_x0020_Marker"/>
                <xsd:element ref="ns2:Disposal_x0020_Class_x0020_Comms"/>
                <xsd:element ref="ns2:Harradine_x0020_Comms"/>
                <xsd:element ref="ns3:MediaServiceMetadata" minOccurs="0"/>
                <xsd:element ref="ns3:MediaServiceFastMetadata" minOccurs="0"/>
                <xsd:element ref="ns3:MediaServiceDateTaken" minOccurs="0"/>
                <xsd:element ref="ns3:MediaServiceAutoTags"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3d2b7f-05f7-4e58-9518-e46a74282b9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Financial_x0020_Year" ma:index="11" ma:displayName="Financial Year" ma:default="2017/2018" ma:format="Dropdown" ma:internalName="Financial_x0020_Year">
      <xsd:simpleType>
        <xsd:restriction base="dms:Choice">
          <xsd:enumeration value="2003/2004"/>
          <xsd:enumeration value="2004/2005"/>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20/2021"/>
          <xsd:enumeration value="2021/2022"/>
          <xsd:enumeration value="2023/2024"/>
          <xsd:enumeration value="2024/2025"/>
          <xsd:enumeration value="2025/2026"/>
          <xsd:enumeration value="2026/2027"/>
        </xsd:restriction>
      </xsd:simpleType>
    </xsd:element>
    <xsd:element name="Security_x0020_Marker" ma:index="12" ma:displayName="Security Marker" ma:default="UNCLASSIFIED" ma:format="Dropdown" ma:internalName="Security_x0020_Marker">
      <xsd:simpleType>
        <xsd:restriction base="dms:Choice">
          <xsd:enumeration value="UNCLASSIFIED"/>
          <xsd:enumeration value="FOR OFFICIAL USE ONLY"/>
          <xsd:enumeration value="CLASSIFIED"/>
        </xsd:restriction>
      </xsd:simpleType>
    </xsd:element>
    <xsd:element name="Disposal_x0020_Class_x0020_Comms" ma:index="13" ma:displayName="Disposal Class Comms" ma:default="Publication_Disposal Action - Destroy 7 years after action completed - AFDA Express - Class 20337" ma:format="Dropdown" ma:internalName="Disposal_x0020_Class_x0020_Comms">
      <xsd:simpleType>
        <xsd:restriction base="dms:Choice">
          <xsd:enumeration value="ARPC Board Administration_Disposal Action - Destroy 10 years after action completed - Governing Bodies - Class 21581"/>
          <xsd:enumeration value="ARPC Board Employment Conditions_Disposal Action - Destroy 75 years after date of birth - Governing Bodies - Class 21580"/>
          <xsd:enumeration value="ARPC Board_Disposal Action - Retain as national archives - Governing Bodies - Class 21579"/>
          <xsd:enumeration value="Audit_Disposal Action - Destroy 10 years after action completed - AFDA Express - Class 20341"/>
          <xsd:enumeration value="Claims_Retention Details - Retain until covered by a records authority"/>
          <xsd:enumeration value="Community Relations_Disposal Action - Destroy 7 years after action completed - AFDA Express - Class 20443"/>
          <xsd:enumeration value="Compliance_Disposal Action - Destroy 7 years after action completed - AFDA Express - Class 20342"/>
          <xsd:enumeration value="Employment Conditions_Disposal Action - Destroy 75 years after date of birth - AFDA Express - 20304"/>
          <xsd:enumeration value="Financial Services_Disposal Action - Destroy 7 years after action completed - AFDA Express - Class 20260"/>
          <xsd:enumeration value="Government Relations_Disposal Action - Destroy 10 years after action completed - AFDA Express - Class 20270"/>
          <xsd:enumeration value="Human Resources_Disposal Action - Destroy 7 years after action completed - AFDA Express - Class 20313"/>
          <xsd:enumeration value="Industrial Relations_Disposal Action - Destroy 10 years after action completed - AFDA Express - Class 20272"/>
          <xsd:enumeration value="Information Management_Disposal Action - Destroy 7 years after action completed - AFDA Express - Class 20344"/>
          <xsd:enumeration value="Information Technology_Disposal Action - Destroy 7 years after action completed - AFDA Express - Class 20344"/>
          <xsd:enumeration value="Insurance Audit_Disposal Action - Retain until covered by a records authority"/>
          <xsd:enumeration value="Investment Management_Disposal Action - Destroy 7 years after action completed - AFDA Express - Class 20260"/>
          <xsd:enumeration value="Legal Services_Disposal Action - Destroy 7 years after action completed - AFDA Express - 20455"/>
          <xsd:enumeration value="Policy_Disposal Action - Destroy 7 years after action completed - AFDA Express - Class 20342"/>
          <xsd:enumeration value="Procurement_Disposal Action - Destroy 7 years after action completed - ADA Express - Class 20317"/>
          <xsd:enumeration value="PropertyManagement_Disposal Action - Destroy 7 years after action completed - AFDA Express - Class 20328"/>
          <xsd:enumeration value="Publication_Disposal Action - Destroy 7 years after action completed - AFDA Express - Class 20337"/>
          <xsd:enumeration value="Risk Management_Disposal Action - Destroy 7 years after action completed - AFDA Express - Class 20342"/>
          <xsd:enumeration value="Staff Development_Disposal Action - Destroy 7 years after action completed - AFDA Express - Class 20339"/>
          <xsd:enumeration value="Strategic Management_Disposal Action - Destroy 7 years after action completed – AFDA Express – Class 20342"/>
          <xsd:enumeration value="Strategic Management_Disposal Action - Retain as national archives - AFDA Express - Class 20340"/>
          <xsd:enumeration value="Underwriting_Disposal Action - Retain until covered by a records authority"/>
          <xsd:enumeration value="WHS_Disposal Action - Destroy 7 years after action completed - AFDA Express - Class 20467"/>
        </xsd:restriction>
      </xsd:simpleType>
    </xsd:element>
    <xsd:element name="Harradine_x0020_Comms" ma:index="14" ma:displayName="Harradine Comms" ma:default="General administration files (EXC)" ma:format="Dropdown" ma:internalName="Harradine_x0020_Comms">
      <xsd:simpleType>
        <xsd:restriction base="dms:Choice">
          <xsd:enumeration value="Consulting Reports (INC)"/>
          <xsd:enumeration value="Policies and procedures (INC)"/>
          <xsd:enumeration value="Selection of consultancies (INC)"/>
          <xsd:enumeration value="Financial estimated for budget estimates (INC)"/>
          <xsd:enumeration value="General administration files (EXC)"/>
          <xsd:enumeration value="Case related files (EXC)"/>
        </xsd:restriction>
      </xsd:simple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b3541d6-3dfa-486b-a690-e408a089a2fd"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DateTaken" ma:index="17" nillable="true" ma:displayName="MediaServiceDateTaken" ma:description="" ma:hidden="true" ma:internalName="MediaServiceDateTaken" ma:readOnly="true">
      <xsd:simpleType>
        <xsd:restriction base="dms:Text"/>
      </xsd:simpleType>
    </xsd:element>
    <xsd:element name="MediaServiceAutoTags" ma:index="18" nillable="true" ma:displayName="MediaServiceAutoTags" ma:description=""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ecurity_x0020_Marker xmlns="193d2b7f-05f7-4e58-9518-e46a74282b94">UNCLASSIFIED</Security_x0020_Marker>
    <Harradine_x0020_Comms xmlns="193d2b7f-05f7-4e58-9518-e46a74282b94">General administration files (EXC)</Harradine_x0020_Comms>
    <Disposal_x0020_Class_x0020_Comms xmlns="193d2b7f-05f7-4e58-9518-e46a74282b94">Publication_Disposal Action - Destroy 7 years after action completed - AFDA Express - Class 20337</Disposal_x0020_Class_x0020_Comms>
    <Financial_x0020_Year xmlns="193d2b7f-05f7-4e58-9518-e46a74282b94">2017/2018</Financial_x0020_Year>
    <_dlc_DocId xmlns="193d2b7f-05f7-4e58-9518-e46a74282b94">ARPC-108014469-228</_dlc_DocId>
    <_dlc_DocIdUrl xmlns="193d2b7f-05f7-4e58-9518-e46a74282b94">
      <Url>https://arpc1.sharepoint.com/bps/comms/_layouts/15/DocIdRedir.aspx?ID=ARPC-108014469-228</Url>
      <Description>ARPC-108014469-228</Description>
    </_dlc_DocIdUrl>
    <SharedWithUsers xmlns="193d2b7f-05f7-4e58-9518-e46a74282b94">
      <UserInfo>
        <DisplayName>Anna Fenech</DisplayName>
        <AccountId>91</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C4BD990-3197-4E84-A100-9BCC0237A419}">
  <ds:schemaRefs>
    <ds:schemaRef ds:uri="http://schemas.microsoft.com/sharepoint/events"/>
  </ds:schemaRefs>
</ds:datastoreItem>
</file>

<file path=customXml/itemProps2.xml><?xml version="1.0" encoding="utf-8"?>
<ds:datastoreItem xmlns:ds="http://schemas.openxmlformats.org/officeDocument/2006/customXml" ds:itemID="{E3232914-835A-40E6-A9E0-0A8A26B40E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3d2b7f-05f7-4e58-9518-e46a74282b94"/>
    <ds:schemaRef ds:uri="3b3541d6-3dfa-486b-a690-e408a089a2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D31171-F4E1-46CB-89BF-D25A8179F0C7}">
  <ds:schemaRefs>
    <ds:schemaRef ds:uri="http://purl.org/dc/terms/"/>
    <ds:schemaRef ds:uri="http://schemas.microsoft.com/office/infopath/2007/PartnerControls"/>
    <ds:schemaRef ds:uri="http://schemas.microsoft.com/office/2006/documentManagement/types"/>
    <ds:schemaRef ds:uri="http://www.w3.org/XML/1998/namespace"/>
    <ds:schemaRef ds:uri="193d2b7f-05f7-4e58-9518-e46a74282b94"/>
    <ds:schemaRef ds:uri="http://purl.org/dc/elements/1.1/"/>
    <ds:schemaRef ds:uri="http://schemas.openxmlformats.org/package/2006/metadata/core-properties"/>
    <ds:schemaRef ds:uri="3b3541d6-3dfa-486b-a690-e408a089a2fd"/>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7B57F3FF-3F4C-46C8-B314-93E47401D74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1235</Words>
  <Characters>7046</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Australian Government - The Treasury</Company>
  <LinksUpToDate>false</LinksUpToDate>
  <CharactersWithSpaces>8265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Danielle Shaw</dc:creator>
  <cp:lastModifiedBy>Danielle Shaw</cp:lastModifiedBy>
  <cp:revision>2</cp:revision>
  <cp:lastPrinted>2017-11-30T00:13:00Z</cp:lastPrinted>
  <dcterms:created xsi:type="dcterms:W3CDTF">2017-12-06T22:45:00Z</dcterms:created>
  <dcterms:modified xsi:type="dcterms:W3CDTF">2017-12-06T22:45:00Z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0x0101008CE9F5EA8A5FBD47A8A2D012323F7F05</vt:lpwstr>
  </property>
  <property fmtid="{D5CDD505-2E9C-101B-9397-08002B2CF9AE}" pid="3" name="_dlc_DocIdItemGuid">
    <vt:lpwstr>871e1248-a86e-4d75-9831-2c313696e526</vt:lpwstr>
  </property>
</Properties>
</file>